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eastAsia="宋体" w:cs="Times New Roman"/>
          <w:b/>
          <w:bCs/>
          <w:sz w:val="48"/>
          <w:szCs w:val="48"/>
        </w:rPr>
      </w:pPr>
    </w:p>
    <w:p>
      <w:pPr>
        <w:spacing w:line="360" w:lineRule="auto"/>
        <w:jc w:val="center"/>
        <w:rPr>
          <w:rFonts w:ascii="Times New Roman" w:hAnsi="Times New Roman" w:eastAsia="宋体" w:cs="Times New Roman"/>
          <w:b/>
          <w:bCs/>
          <w:sz w:val="48"/>
          <w:szCs w:val="48"/>
        </w:rPr>
      </w:pPr>
    </w:p>
    <w:p>
      <w:pPr>
        <w:spacing w:line="720" w:lineRule="auto"/>
        <w:jc w:val="center"/>
        <w:rPr>
          <w:rFonts w:ascii="Times New Roman" w:hAnsi="Times New Roman" w:eastAsia="宋体" w:cs="Times New Roman"/>
          <w:b/>
          <w:bCs/>
          <w:sz w:val="36"/>
          <w:szCs w:val="36"/>
        </w:rPr>
      </w:pPr>
      <w:r>
        <w:rPr>
          <w:rFonts w:ascii="Times New Roman" w:hAnsi="Times New Roman" w:eastAsia="宋体" w:cs="Times New Roman"/>
          <w:b/>
          <w:bCs/>
          <w:sz w:val="36"/>
          <w:szCs w:val="36"/>
        </w:rPr>
        <w:t>农业行业标准</w:t>
      </w:r>
    </w:p>
    <w:p>
      <w:pPr>
        <w:spacing w:line="720" w:lineRule="auto"/>
        <w:jc w:val="center"/>
        <w:rPr>
          <w:rFonts w:ascii="Times New Roman" w:hAnsi="Times New Roman" w:eastAsia="宋体" w:cs="Times New Roman"/>
          <w:b/>
          <w:bCs/>
          <w:sz w:val="36"/>
          <w:szCs w:val="36"/>
        </w:rPr>
      </w:pPr>
      <w:r>
        <w:rPr>
          <w:rFonts w:ascii="Times New Roman" w:hAnsi="Times New Roman" w:eastAsia="宋体" w:cs="Times New Roman"/>
          <w:b/>
          <w:bCs/>
          <w:sz w:val="36"/>
          <w:szCs w:val="36"/>
        </w:rPr>
        <w:t>《</w:t>
      </w:r>
      <w:r>
        <w:rPr>
          <w:rFonts w:hint="eastAsia" w:ascii="Times New Roman" w:hAnsi="Times New Roman" w:eastAsia="宋体" w:cs="Times New Roman"/>
          <w:b/>
          <w:bCs/>
          <w:sz w:val="36"/>
          <w:szCs w:val="36"/>
        </w:rPr>
        <w:t>畜禽</w:t>
      </w:r>
      <w:r>
        <w:rPr>
          <w:rFonts w:ascii="Times New Roman" w:hAnsi="Times New Roman" w:eastAsia="宋体" w:cs="Times New Roman"/>
          <w:b/>
          <w:bCs/>
          <w:sz w:val="36"/>
          <w:szCs w:val="36"/>
        </w:rPr>
        <w:t>养殖污水中四环素类、磺胺类和喹诺酮类药物</w:t>
      </w:r>
      <w:r>
        <w:rPr>
          <w:rFonts w:hint="eastAsia" w:ascii="Times New Roman" w:hAnsi="Times New Roman" w:eastAsia="宋体" w:cs="Times New Roman"/>
          <w:b/>
          <w:bCs/>
          <w:sz w:val="36"/>
          <w:szCs w:val="36"/>
        </w:rPr>
        <w:t>残留量</w:t>
      </w:r>
      <w:r>
        <w:rPr>
          <w:rFonts w:ascii="Times New Roman" w:hAnsi="Times New Roman" w:eastAsia="宋体" w:cs="Times New Roman"/>
          <w:b/>
          <w:bCs/>
          <w:sz w:val="36"/>
          <w:szCs w:val="36"/>
        </w:rPr>
        <w:t>的测定  液相色谱-串联质谱法》</w:t>
      </w:r>
    </w:p>
    <w:p>
      <w:pPr>
        <w:spacing w:line="720" w:lineRule="auto"/>
        <w:jc w:val="center"/>
        <w:rPr>
          <w:rFonts w:ascii="Times New Roman" w:hAnsi="Times New Roman" w:eastAsia="宋体" w:cs="Times New Roman"/>
          <w:b/>
          <w:bCs/>
          <w:sz w:val="36"/>
          <w:szCs w:val="36"/>
        </w:rPr>
      </w:pPr>
      <w:r>
        <w:rPr>
          <w:rFonts w:hint="eastAsia" w:ascii="Times New Roman" w:hAnsi="Times New Roman" w:eastAsia="宋体" w:cs="Times New Roman"/>
          <w:b/>
          <w:bCs/>
          <w:sz w:val="36"/>
          <w:szCs w:val="36"/>
        </w:rPr>
        <w:t>（公开征求意见稿）</w:t>
      </w:r>
    </w:p>
    <w:p>
      <w:pPr>
        <w:spacing w:line="720" w:lineRule="auto"/>
        <w:jc w:val="center"/>
        <w:rPr>
          <w:rFonts w:ascii="Times New Roman" w:hAnsi="Times New Roman" w:eastAsia="宋体" w:cs="Times New Roman"/>
          <w:b/>
          <w:bCs/>
          <w:sz w:val="36"/>
          <w:szCs w:val="36"/>
        </w:rPr>
      </w:pPr>
      <w:r>
        <w:rPr>
          <w:rFonts w:ascii="Times New Roman" w:hAnsi="Times New Roman" w:eastAsia="宋体" w:cs="Times New Roman"/>
          <w:b/>
          <w:bCs/>
          <w:sz w:val="36"/>
          <w:szCs w:val="36"/>
        </w:rPr>
        <w:t>编制说明</w:t>
      </w:r>
    </w:p>
    <w:p>
      <w:pPr>
        <w:spacing w:line="360" w:lineRule="auto"/>
        <w:rPr>
          <w:rFonts w:ascii="Times New Roman" w:hAnsi="Times New Roman" w:eastAsia="宋体" w:cs="Times New Roman"/>
          <w:b/>
          <w:bCs/>
          <w:sz w:val="48"/>
          <w:szCs w:val="48"/>
        </w:rPr>
      </w:pPr>
    </w:p>
    <w:p>
      <w:pPr>
        <w:spacing w:line="360" w:lineRule="auto"/>
        <w:jc w:val="center"/>
        <w:rPr>
          <w:rFonts w:ascii="Times New Roman" w:hAnsi="Times New Roman" w:eastAsia="宋体" w:cs="Times New Roman"/>
        </w:rPr>
      </w:pPr>
    </w:p>
    <w:p>
      <w:pPr>
        <w:spacing w:line="360" w:lineRule="auto"/>
        <w:jc w:val="center"/>
        <w:rPr>
          <w:rFonts w:ascii="Times New Roman" w:hAnsi="Times New Roman" w:eastAsia="宋体" w:cs="Times New Roman"/>
        </w:rPr>
      </w:pPr>
    </w:p>
    <w:p>
      <w:pPr>
        <w:spacing w:line="360" w:lineRule="auto"/>
        <w:jc w:val="center"/>
        <w:rPr>
          <w:rFonts w:ascii="Times New Roman" w:hAnsi="Times New Roman" w:eastAsia="宋体" w:cs="Times New Roman"/>
        </w:rPr>
      </w:pPr>
    </w:p>
    <w:p>
      <w:pPr>
        <w:spacing w:line="360" w:lineRule="auto"/>
        <w:jc w:val="center"/>
        <w:rPr>
          <w:rFonts w:ascii="Times New Roman" w:hAnsi="Times New Roman" w:eastAsia="宋体" w:cs="Times New Roman"/>
        </w:rPr>
      </w:pPr>
    </w:p>
    <w:p>
      <w:pPr>
        <w:spacing w:line="360" w:lineRule="auto"/>
        <w:jc w:val="center"/>
        <w:rPr>
          <w:rFonts w:ascii="Times New Roman" w:hAnsi="Times New Roman" w:eastAsia="宋体" w:cs="Times New Roman"/>
        </w:rPr>
      </w:pPr>
    </w:p>
    <w:p>
      <w:pPr>
        <w:spacing w:line="360" w:lineRule="auto"/>
        <w:jc w:val="center"/>
        <w:rPr>
          <w:rFonts w:ascii="Times New Roman" w:hAnsi="Times New Roman" w:eastAsia="宋体" w:cs="Times New Roman"/>
        </w:rPr>
      </w:pPr>
    </w:p>
    <w:p>
      <w:pPr>
        <w:spacing w:line="360" w:lineRule="auto"/>
        <w:rPr>
          <w:rFonts w:ascii="Times New Roman" w:hAnsi="Times New Roman" w:eastAsia="宋体" w:cs="Times New Roman"/>
        </w:rPr>
      </w:pPr>
    </w:p>
    <w:p>
      <w:pPr>
        <w:spacing w:line="360" w:lineRule="auto"/>
        <w:rPr>
          <w:rFonts w:ascii="Times New Roman" w:hAnsi="Times New Roman" w:eastAsia="宋体" w:cs="Times New Roman"/>
        </w:rPr>
      </w:pPr>
    </w:p>
    <w:p>
      <w:pPr>
        <w:spacing w:line="360" w:lineRule="auto"/>
        <w:rPr>
          <w:rFonts w:ascii="Times New Roman" w:hAnsi="Times New Roman" w:eastAsia="宋体" w:cs="Times New Roman"/>
        </w:rPr>
      </w:pPr>
    </w:p>
    <w:p>
      <w:pPr>
        <w:spacing w:line="360" w:lineRule="auto"/>
        <w:rPr>
          <w:rFonts w:ascii="Times New Roman" w:hAnsi="Times New Roman" w:eastAsia="宋体" w:cs="Times New Roman"/>
        </w:rPr>
      </w:pPr>
    </w:p>
    <w:p>
      <w:pPr>
        <w:spacing w:line="360" w:lineRule="auto"/>
        <w:rPr>
          <w:rFonts w:ascii="Times New Roman" w:hAnsi="Times New Roman" w:eastAsia="宋体" w:cs="Times New Roman"/>
        </w:rPr>
      </w:pPr>
    </w:p>
    <w:p>
      <w:pPr>
        <w:spacing w:line="360" w:lineRule="auto"/>
        <w:rPr>
          <w:rFonts w:ascii="Times New Roman" w:hAnsi="Times New Roman" w:eastAsia="宋体" w:cs="Times New Roman"/>
        </w:rPr>
      </w:pPr>
    </w:p>
    <w:p>
      <w:pPr>
        <w:spacing w:line="360" w:lineRule="auto"/>
        <w:jc w:val="center"/>
        <w:rPr>
          <w:rFonts w:ascii="Times New Roman" w:hAnsi="Times New Roman" w:eastAsia="宋体" w:cs="Times New Roman"/>
          <w:b/>
          <w:bCs/>
          <w:sz w:val="28"/>
          <w:szCs w:val="28"/>
        </w:rPr>
      </w:pPr>
      <w:r>
        <w:rPr>
          <w:rFonts w:ascii="Times New Roman" w:hAnsi="Times New Roman" w:eastAsia="宋体" w:cs="Times New Roman"/>
          <w:b/>
          <w:bCs/>
          <w:sz w:val="28"/>
          <w:szCs w:val="28"/>
        </w:rPr>
        <w:t>中国农业科学院农业质量标准与检测技术研究所</w:t>
      </w:r>
    </w:p>
    <w:p>
      <w:pPr>
        <w:spacing w:line="360" w:lineRule="auto"/>
        <w:jc w:val="center"/>
        <w:rPr>
          <w:rFonts w:ascii="Times New Roman" w:hAnsi="Times New Roman" w:eastAsia="宋体" w:cs="Times New Roman"/>
          <w:b/>
          <w:bCs/>
          <w:sz w:val="28"/>
          <w:szCs w:val="28"/>
        </w:rPr>
      </w:pPr>
      <w:r>
        <w:rPr>
          <w:rFonts w:ascii="Times New Roman" w:hAnsi="Times New Roman" w:eastAsia="宋体" w:cs="Times New Roman"/>
          <w:b/>
          <w:bCs/>
          <w:sz w:val="28"/>
          <w:szCs w:val="28"/>
        </w:rPr>
        <w:t>2022年1月</w:t>
      </w:r>
    </w:p>
    <w:p>
      <w:pPr>
        <w:spacing w:line="580" w:lineRule="exact"/>
        <w:rPr>
          <w:rFonts w:ascii="Times New Roman" w:hAnsi="Times New Roman" w:eastAsia="黑体" w:cs="Times New Roman"/>
          <w:sz w:val="30"/>
        </w:rPr>
      </w:pPr>
      <w:r>
        <w:rPr>
          <w:rFonts w:ascii="Times New Roman" w:hAnsi="Times New Roman" w:eastAsia="黑体" w:cs="Times New Roman"/>
          <w:sz w:val="30"/>
        </w:rPr>
        <w:t>一、标准制定背景及任务来源</w:t>
      </w:r>
    </w:p>
    <w:p>
      <w:pPr>
        <w:spacing w:line="480" w:lineRule="auto"/>
        <w:rPr>
          <w:rFonts w:ascii="Times New Roman" w:hAnsi="Times New Roman" w:eastAsia="宋体" w:cs="Times New Roman"/>
          <w:sz w:val="28"/>
          <w:szCs w:val="28"/>
        </w:rPr>
      </w:pPr>
      <w:r>
        <w:rPr>
          <w:rFonts w:ascii="Times New Roman" w:hAnsi="Times New Roman" w:eastAsia="宋体" w:cs="Times New Roman"/>
          <w:b/>
          <w:bCs/>
          <w:sz w:val="28"/>
          <w:szCs w:val="28"/>
        </w:rPr>
        <w:t>1.1 任务来源</w:t>
      </w:r>
    </w:p>
    <w:p>
      <w:pPr>
        <w:spacing w:line="360" w:lineRule="auto"/>
        <w:ind w:firstLine="420"/>
        <w:rPr>
          <w:rFonts w:ascii="Times New Roman" w:hAnsi="Times New Roman" w:eastAsia="宋体" w:cs="Times New Roman"/>
        </w:rPr>
      </w:pPr>
      <w:r>
        <w:rPr>
          <w:rFonts w:ascii="Times New Roman" w:hAnsi="Times New Roman" w:eastAsia="宋体" w:cs="Times New Roman"/>
        </w:rPr>
        <w:t>本标准的制定任务来源于2017</w:t>
      </w:r>
      <w:r>
        <w:rPr>
          <w:rFonts w:hint="eastAsia" w:ascii="Times New Roman" w:hAnsi="Times New Roman" w:eastAsia="宋体" w:cs="Times New Roman"/>
        </w:rPr>
        <w:t>年农业部下达</w:t>
      </w:r>
      <w:r>
        <w:rPr>
          <w:rFonts w:ascii="Times New Roman" w:hAnsi="Times New Roman" w:eastAsia="宋体" w:cs="Times New Roman"/>
        </w:rPr>
        <w:t>农业行业标准制定与修订项目</w:t>
      </w:r>
      <w:r>
        <w:rPr>
          <w:rFonts w:hint="eastAsia" w:ascii="Times New Roman" w:hAnsi="Times New Roman" w:eastAsia="宋体" w:cs="Times New Roman"/>
        </w:rPr>
        <w:t>批复文件</w:t>
      </w:r>
      <w:r>
        <w:rPr>
          <w:rFonts w:ascii="Times New Roman" w:hAnsi="Times New Roman" w:eastAsia="宋体" w:cs="Times New Roman"/>
        </w:rPr>
        <w:t>，本标准由</w:t>
      </w:r>
      <w:r>
        <w:rPr>
          <w:rFonts w:ascii="Times New Roman" w:hAnsi="Times New Roman" w:cs="Times New Roman"/>
        </w:rPr>
        <w:t>全国畜牧业标准化委员会（SAC/TC 274）归口</w:t>
      </w:r>
      <w:r>
        <w:rPr>
          <w:rFonts w:ascii="Times New Roman" w:hAnsi="Times New Roman" w:eastAsia="宋体" w:cs="Times New Roman"/>
        </w:rPr>
        <w:t>，任务下达</w:t>
      </w:r>
      <w:r>
        <w:rPr>
          <w:rFonts w:hint="eastAsia" w:ascii="Times New Roman" w:hAnsi="Times New Roman" w:eastAsia="宋体" w:cs="Times New Roman"/>
        </w:rPr>
        <w:t>计划号为农办质【2017】25号201734</w:t>
      </w:r>
      <w:r>
        <w:rPr>
          <w:rFonts w:ascii="Times New Roman" w:hAnsi="Times New Roman" w:eastAsia="宋体" w:cs="Times New Roman"/>
        </w:rPr>
        <w:t>。任务名称：“养殖场污水中四环素类、磺胺类和喹诺酮类药物的测定 液相色谱-串联质谱法”</w:t>
      </w:r>
      <w:r>
        <w:rPr>
          <w:rFonts w:hint="eastAsia" w:ascii="Times New Roman" w:hAnsi="Times New Roman" w:eastAsia="宋体" w:cs="Times New Roman"/>
        </w:rPr>
        <w:t>。</w:t>
      </w:r>
      <w:bookmarkStart w:id="0" w:name="OLE_LINK1"/>
      <w:r>
        <w:rPr>
          <w:rFonts w:hint="eastAsia" w:ascii="Times New Roman" w:hAnsi="Times New Roman" w:eastAsia="宋体" w:cs="Times New Roman"/>
        </w:rPr>
        <w:t>起草单位为：中国农业科学院农业质量标准与检测技术研究所，首席专家是陈刚研究员。</w:t>
      </w:r>
      <w:bookmarkEnd w:id="0"/>
    </w:p>
    <w:p>
      <w:pPr>
        <w:spacing w:line="480" w:lineRule="auto"/>
        <w:rPr>
          <w:rFonts w:ascii="Times New Roman" w:hAnsi="Times New Roman" w:eastAsia="宋体" w:cs="Times New Roman"/>
          <w:sz w:val="28"/>
          <w:szCs w:val="28"/>
        </w:rPr>
      </w:pPr>
      <w:r>
        <w:rPr>
          <w:rFonts w:ascii="Times New Roman" w:hAnsi="Times New Roman" w:eastAsia="宋体" w:cs="Times New Roman"/>
          <w:b/>
          <w:bCs/>
          <w:sz w:val="28"/>
          <w:szCs w:val="28"/>
        </w:rPr>
        <w:t>1.2 标准制定背景</w:t>
      </w:r>
    </w:p>
    <w:p>
      <w:pPr>
        <w:spacing w:line="360" w:lineRule="auto"/>
        <w:ind w:firstLine="420" w:firstLineChars="200"/>
        <w:rPr>
          <w:rFonts w:ascii="Times New Roman" w:hAnsi="Times New Roman" w:cs="Times New Roman"/>
          <w:szCs w:val="21"/>
        </w:rPr>
      </w:pPr>
      <w:r>
        <w:rPr>
          <w:rFonts w:ascii="Times New Roman" w:hAnsi="Times New Roman" w:cs="Times New Roman"/>
          <w:szCs w:val="21"/>
        </w:rPr>
        <w:t>我国每年抗生素总使用量约16.2万吨。其中50%以上用于畜牧业养殖中。近年来，抗生素的归趋及其对环境的潜在危害逐步受到人们的关注。研究表明，抗生素进入动物体内，除少部分残留在动物体内，多达85%以上以原药和代谢产物的形式排出体外，进入生态环境，进而对周边土壤、水体产生影响。</w:t>
      </w:r>
    </w:p>
    <w:p>
      <w:pPr>
        <w:spacing w:line="360" w:lineRule="auto"/>
        <w:ind w:firstLine="420" w:firstLineChars="200"/>
        <w:rPr>
          <w:rFonts w:ascii="Times New Roman" w:hAnsi="Times New Roman" w:cs="Times New Roman"/>
          <w:szCs w:val="21"/>
        </w:rPr>
      </w:pPr>
      <w:r>
        <w:rPr>
          <w:rFonts w:ascii="Times New Roman" w:hAnsi="Times New Roman" w:cs="Times New Roman"/>
          <w:szCs w:val="21"/>
        </w:rPr>
        <w:t>磺胺类抗生素是具有对氨基苯磺酰胺结构的一类药物的总称，其通过竞争性抑制叶酸代谢循环中的对氨基苯甲酸而抑制细菌性增殖，目前是应用最为广泛的兽用抗生素之一。</w:t>
      </w:r>
    </w:p>
    <w:p>
      <w:pPr>
        <w:spacing w:line="360" w:lineRule="auto"/>
        <w:ind w:firstLine="420" w:firstLineChars="200"/>
        <w:rPr>
          <w:rFonts w:ascii="Times New Roman" w:hAnsi="Times New Roman" w:cs="Times New Roman"/>
          <w:szCs w:val="21"/>
        </w:rPr>
      </w:pPr>
      <w:r>
        <w:rPr>
          <w:rFonts w:ascii="Times New Roman" w:hAnsi="Times New Roman" w:cs="Times New Roman"/>
          <w:szCs w:val="21"/>
        </w:rPr>
        <w:t xml:space="preserve">目前关于磺胺类抗生素含量检测有GB 29694-2013 </w:t>
      </w:r>
      <w:r>
        <w:rPr>
          <w:rFonts w:hint="eastAsia" w:ascii="Times New Roman" w:hAnsi="Times New Roman" w:cs="Times New Roman"/>
          <w:szCs w:val="21"/>
        </w:rPr>
        <w:t>《</w:t>
      </w:r>
      <w:r>
        <w:rPr>
          <w:rFonts w:ascii="Times New Roman" w:hAnsi="Times New Roman" w:cs="Times New Roman"/>
          <w:szCs w:val="21"/>
        </w:rPr>
        <w:t>动物性食品中13种磺胺类药物多残留的测定 高效液相色谱法</w:t>
      </w:r>
      <w:r>
        <w:rPr>
          <w:rFonts w:hint="eastAsia" w:ascii="Times New Roman" w:hAnsi="Times New Roman" w:cs="Times New Roman"/>
          <w:szCs w:val="21"/>
        </w:rPr>
        <w:t>》</w:t>
      </w:r>
      <w:r>
        <w:rPr>
          <w:rFonts w:ascii="Times New Roman" w:hAnsi="Times New Roman" w:cs="Times New Roman"/>
          <w:szCs w:val="21"/>
        </w:rPr>
        <w:t>、</w:t>
      </w:r>
      <w:r>
        <w:rPr>
          <w:rFonts w:ascii="Times New Roman" w:hAnsi="Times New Roman" w:cs="Times New Roman"/>
        </w:rPr>
        <w:t xml:space="preserve">GB/T 21316-2007 </w:t>
      </w:r>
      <w:r>
        <w:rPr>
          <w:rFonts w:hint="eastAsia" w:ascii="Times New Roman" w:hAnsi="Times New Roman" w:cs="Times New Roman"/>
        </w:rPr>
        <w:t>《</w:t>
      </w:r>
      <w:r>
        <w:fldChar w:fldCharType="begin"/>
      </w:r>
      <w:r>
        <w:instrText xml:space="preserve"> HYPERLINK "http://down.foodmate.net/standard/sort/3/14687.html" \t "_blank" \o "GB/T 21316-2007 动物源性食品中磺胺类药物残留量的测定 液相色谱-质谱/质谱法" </w:instrText>
      </w:r>
      <w:r>
        <w:fldChar w:fldCharType="separate"/>
      </w:r>
      <w:r>
        <w:rPr>
          <w:rFonts w:ascii="Times New Roman" w:hAnsi="Times New Roman" w:cs="Times New Roman"/>
        </w:rPr>
        <w:t>动物源性食品中磺胺类药物残留量的测定 液相色谱-质谱/质谱法</w:t>
      </w:r>
      <w:r>
        <w:rPr>
          <w:rFonts w:ascii="Times New Roman" w:hAnsi="Times New Roman" w:cs="Times New Roman"/>
        </w:rPr>
        <w:fldChar w:fldCharType="end"/>
      </w:r>
      <w:r>
        <w:rPr>
          <w:rFonts w:hint="eastAsia" w:ascii="Times New Roman" w:hAnsi="Times New Roman" w:cs="Times New Roman"/>
        </w:rPr>
        <w:t>》</w:t>
      </w:r>
      <w:r>
        <w:rPr>
          <w:rFonts w:ascii="Times New Roman" w:hAnsi="Times New Roman" w:cs="Times New Roman"/>
          <w:szCs w:val="21"/>
        </w:rPr>
        <w:t>以及</w:t>
      </w:r>
      <w:r>
        <w:fldChar w:fldCharType="begin"/>
      </w:r>
      <w:r>
        <w:instrText xml:space="preserve"> HYPERLINK "http://down.foodmate.net/standard/sort/3/22051.html" \t "_blank" \o "GB/T 22966-2008 牛奶和奶粉中16种磺胺类药物残留量的测定 液相色谱-串联质谱法" </w:instrText>
      </w:r>
      <w:r>
        <w:fldChar w:fldCharType="separate"/>
      </w:r>
      <w:r>
        <w:rPr>
          <w:rFonts w:ascii="Times New Roman" w:hAnsi="Times New Roman" w:cs="Times New Roman"/>
        </w:rPr>
        <w:t xml:space="preserve">GB/T 22966-2008 </w:t>
      </w:r>
      <w:r>
        <w:rPr>
          <w:rFonts w:hint="eastAsia" w:ascii="Times New Roman" w:hAnsi="Times New Roman" w:cs="Times New Roman"/>
        </w:rPr>
        <w:t>《</w:t>
      </w:r>
      <w:r>
        <w:rPr>
          <w:rFonts w:ascii="Times New Roman" w:hAnsi="Times New Roman" w:cs="Times New Roman"/>
        </w:rPr>
        <w:t>牛奶和奶粉中16种磺胺类药物残留量的测定 液相色谱-串联质谱法</w:t>
      </w:r>
      <w:r>
        <w:rPr>
          <w:rFonts w:hint="eastAsia" w:ascii="Times New Roman" w:hAnsi="Times New Roman" w:cs="Times New Roman"/>
        </w:rPr>
        <w:t>》</w:t>
      </w:r>
      <w:r>
        <w:rPr>
          <w:rFonts w:hint="eastAsia" w:ascii="Times New Roman" w:hAnsi="Times New Roman" w:cs="Times New Roman"/>
        </w:rPr>
        <w:fldChar w:fldCharType="end"/>
      </w:r>
      <w:r>
        <w:rPr>
          <w:rFonts w:ascii="Times New Roman" w:hAnsi="Times New Roman" w:cs="Times New Roman"/>
          <w:szCs w:val="21"/>
        </w:rPr>
        <w:t>、</w:t>
      </w:r>
      <w:r>
        <w:rPr>
          <w:rFonts w:ascii="Times New Roman" w:hAnsi="Times New Roman" w:cs="Times New Roman"/>
        </w:rPr>
        <w:t>GB/T 20759-2006</w:t>
      </w:r>
      <w:r>
        <w:fldChar w:fldCharType="begin"/>
      </w:r>
      <w:r>
        <w:instrText xml:space="preserve"> HYPERLINK "http://down.foodmate.net/standard/sort/3/11116.html" \t "_blank" \o "GB/T 20759-2006 畜禽肉中十六种磺胺类药物残留量的测定 液相色谱-串联质谱法" </w:instrText>
      </w:r>
      <w:r>
        <w:fldChar w:fldCharType="separate"/>
      </w:r>
      <w:r>
        <w:rPr>
          <w:rFonts w:hint="eastAsia" w:ascii="Times New Roman" w:hAnsi="Times New Roman" w:cs="Times New Roman"/>
        </w:rPr>
        <w:t>《</w:t>
      </w:r>
      <w:r>
        <w:rPr>
          <w:rFonts w:ascii="Times New Roman" w:hAnsi="Times New Roman" w:cs="Times New Roman"/>
        </w:rPr>
        <w:t>畜禽肉中十六种磺胺类药物残留量的测定 液相色谱-串联质谱法</w:t>
      </w:r>
      <w:r>
        <w:rPr>
          <w:rFonts w:hint="eastAsia" w:ascii="Times New Roman" w:hAnsi="Times New Roman" w:cs="Times New Roman"/>
        </w:rPr>
        <w:t>》</w:t>
      </w:r>
      <w:r>
        <w:rPr>
          <w:rFonts w:hint="eastAsia" w:ascii="Times New Roman" w:hAnsi="Times New Roman" w:cs="Times New Roman"/>
        </w:rPr>
        <w:fldChar w:fldCharType="end"/>
      </w:r>
      <w:r>
        <w:rPr>
          <w:rFonts w:ascii="Times New Roman" w:hAnsi="Times New Roman" w:cs="Times New Roman"/>
          <w:szCs w:val="21"/>
        </w:rPr>
        <w:t>等相关标准和方法，但无专门针对畜禽污水的检测标准。</w:t>
      </w:r>
    </w:p>
    <w:p>
      <w:pPr>
        <w:spacing w:line="360" w:lineRule="auto"/>
        <w:ind w:firstLine="525" w:firstLineChars="250"/>
        <w:rPr>
          <w:rFonts w:ascii="Times New Roman" w:hAnsi="Times New Roman" w:cs="Times New Roman"/>
          <w:szCs w:val="21"/>
        </w:rPr>
      </w:pPr>
      <w:r>
        <w:rPr>
          <w:rFonts w:ascii="Times New Roman" w:hAnsi="Times New Roman" w:cs="Times New Roman"/>
          <w:szCs w:val="21"/>
        </w:rPr>
        <w:t>在畜禽废弃物中磺胺类抗生素测定方法的研究中，国外有报报道利用EDTA/麦氏缓冲液为提取液，经过固相萃取，通过衍生法用高效液相色谱荧光检测器测定；利用乙酸乙酯为提取液，HPLC-MS检测；国内方面，利用固相萃取-高效液相色谱串联质谱法同时测定了土壤中磺胺类四环素类和喹诺酮类抗生素；液相色谱-紫外检测法和液相色谱-荧光检测法在抗生素分析中使用较多，但大都存在着操作复杂、周期较长、存在二次污染等问题。</w:t>
      </w:r>
    </w:p>
    <w:p>
      <w:pPr>
        <w:widowControl/>
        <w:spacing w:line="360" w:lineRule="auto"/>
        <w:ind w:firstLine="420" w:firstLineChars="200"/>
        <w:jc w:val="left"/>
        <w:rPr>
          <w:rFonts w:ascii="Arial" w:hAnsi="Arial" w:eastAsia="宋体" w:cs="Arial"/>
          <w:szCs w:val="21"/>
          <w:shd w:val="clear" w:color="auto" w:fill="FFFFFF"/>
        </w:rPr>
      </w:pPr>
      <w:r>
        <w:rPr>
          <w:rFonts w:hint="eastAsia" w:ascii="宋体" w:hAnsi="宋体" w:eastAsia="宋体" w:cs="宋体"/>
          <w:szCs w:val="21"/>
          <w:shd w:val="clear" w:color="auto" w:fill="FFFFFF"/>
        </w:rPr>
        <w:t>喹诺酮类(4-quinolones，QNs)，又称吡酮酸类或吡啶酮酸类，是人工合成的含4-喹诺酮基本结构的抗菌药。</w:t>
      </w:r>
      <w:r>
        <w:rPr>
          <w:rFonts w:hint="eastAsia" w:ascii="宋体" w:hAnsi="宋体" w:eastAsia="宋体" w:cs="宋体"/>
          <w:kern w:val="0"/>
          <w:szCs w:val="21"/>
          <w:lang w:bidi="ar"/>
        </w:rPr>
        <w:t>作用于细菌的脱</w:t>
      </w:r>
      <w:r>
        <w:rPr>
          <w:rFonts w:hint="eastAsia" w:ascii="宋体" w:hAnsi="宋体" w:eastAsia="宋体" w:cs="宋体"/>
          <w:color w:val="000000"/>
          <w:kern w:val="0"/>
          <w:szCs w:val="21"/>
          <w:lang w:bidi="ar"/>
        </w:rPr>
        <w:t>氧核糖核酸，阻碍氧核糖核酸回旋酶的作用，可对染</w:t>
      </w:r>
      <w:r>
        <w:rPr>
          <w:rFonts w:hint="eastAsia" w:ascii="宋体" w:hAnsi="宋体" w:eastAsia="宋体" w:cs="宋体"/>
          <w:kern w:val="0"/>
          <w:szCs w:val="21"/>
          <w:lang w:bidi="ar"/>
        </w:rPr>
        <w:t>色体造成不可逆的损害，导致细菌细胞无法分裂，从而达到菌的目的。</w:t>
      </w:r>
      <w:r>
        <w:rPr>
          <w:rFonts w:ascii="Arial" w:hAnsi="Arial" w:eastAsia="宋体" w:cs="Arial"/>
          <w:szCs w:val="21"/>
          <w:shd w:val="clear" w:color="auto" w:fill="FFFFFF"/>
        </w:rPr>
        <w:t>它们对细菌显示</w:t>
      </w:r>
      <w:r>
        <w:fldChar w:fldCharType="begin"/>
      </w:r>
      <w:r>
        <w:instrText xml:space="preserve"> HYPERLINK "https://baike.so.com/doc/7705004-7979099.html" \t "https://baike.so.com/doc/_blank" </w:instrText>
      </w:r>
      <w:r>
        <w:fldChar w:fldCharType="separate"/>
      </w:r>
      <w:r>
        <w:rPr>
          <w:rStyle w:val="12"/>
          <w:rFonts w:ascii="Arial" w:hAnsi="Arial" w:eastAsia="宋体" w:cs="Arial"/>
          <w:color w:val="auto"/>
          <w:szCs w:val="21"/>
          <w:u w:val="none"/>
          <w:shd w:val="clear" w:color="auto" w:fill="FFFFFF"/>
        </w:rPr>
        <w:t>选择性毒性</w:t>
      </w:r>
      <w:r>
        <w:rPr>
          <w:rStyle w:val="12"/>
          <w:rFonts w:ascii="Arial" w:hAnsi="Arial" w:eastAsia="宋体" w:cs="Arial"/>
          <w:color w:val="auto"/>
          <w:szCs w:val="21"/>
          <w:u w:val="none"/>
          <w:shd w:val="clear" w:color="auto" w:fill="FFFFFF"/>
        </w:rPr>
        <w:fldChar w:fldCharType="end"/>
      </w:r>
      <w:r>
        <w:rPr>
          <w:rFonts w:ascii="Arial" w:hAnsi="Arial" w:eastAsia="宋体" w:cs="Arial"/>
          <w:szCs w:val="21"/>
          <w:shd w:val="clear" w:color="auto" w:fill="FFFFFF"/>
        </w:rPr>
        <w:t>。当前，一些细菌对许多抗生素的耐药性可因</w:t>
      </w:r>
      <w:r>
        <w:fldChar w:fldCharType="begin"/>
      </w:r>
      <w:r>
        <w:instrText xml:space="preserve"> HYPERLINK "https://baike.so.com/doc/1629625-1722782.html" \t "https://baike.so.com/doc/_blank" </w:instrText>
      </w:r>
      <w:r>
        <w:fldChar w:fldCharType="separate"/>
      </w:r>
      <w:r>
        <w:rPr>
          <w:rStyle w:val="12"/>
          <w:rFonts w:ascii="Arial" w:hAnsi="Arial" w:eastAsia="宋体" w:cs="Arial"/>
          <w:color w:val="auto"/>
          <w:szCs w:val="21"/>
          <w:u w:val="none"/>
          <w:shd w:val="clear" w:color="auto" w:fill="FFFFFF"/>
        </w:rPr>
        <w:t>质粒</w:t>
      </w:r>
      <w:r>
        <w:rPr>
          <w:rStyle w:val="12"/>
          <w:rFonts w:ascii="Arial" w:hAnsi="Arial" w:eastAsia="宋体" w:cs="Arial"/>
          <w:color w:val="auto"/>
          <w:szCs w:val="21"/>
          <w:u w:val="none"/>
          <w:shd w:val="clear" w:color="auto" w:fill="FFFFFF"/>
        </w:rPr>
        <w:fldChar w:fldCharType="end"/>
      </w:r>
      <w:r>
        <w:rPr>
          <w:rFonts w:ascii="Arial" w:hAnsi="Arial" w:eastAsia="宋体" w:cs="Arial"/>
          <w:szCs w:val="21"/>
          <w:shd w:val="clear" w:color="auto" w:fill="FFFFFF"/>
        </w:rPr>
        <w:t>传导而广泛传布。本类药物则不受质粒传导耐药性的影响，因此，本类药物与许多</w:t>
      </w:r>
      <w:r>
        <w:fldChar w:fldCharType="begin"/>
      </w:r>
      <w:r>
        <w:instrText xml:space="preserve"> HYPERLINK "https://baike.so.com/doc/6733023-6947349.html" \t "https://baike.so.com/doc/_blank" </w:instrText>
      </w:r>
      <w:r>
        <w:fldChar w:fldCharType="separate"/>
      </w:r>
      <w:r>
        <w:rPr>
          <w:rStyle w:val="12"/>
          <w:rFonts w:ascii="Arial" w:hAnsi="Arial" w:eastAsia="宋体" w:cs="Arial"/>
          <w:color w:val="auto"/>
          <w:szCs w:val="21"/>
          <w:u w:val="none"/>
          <w:shd w:val="clear" w:color="auto" w:fill="FFFFFF"/>
        </w:rPr>
        <w:t>抗菌药物</w:t>
      </w:r>
      <w:r>
        <w:rPr>
          <w:rStyle w:val="12"/>
          <w:rFonts w:ascii="Arial" w:hAnsi="Arial" w:eastAsia="宋体" w:cs="Arial"/>
          <w:color w:val="auto"/>
          <w:szCs w:val="21"/>
          <w:u w:val="none"/>
          <w:shd w:val="clear" w:color="auto" w:fill="FFFFFF"/>
        </w:rPr>
        <w:fldChar w:fldCharType="end"/>
      </w:r>
      <w:r>
        <w:rPr>
          <w:rFonts w:ascii="Arial" w:hAnsi="Arial" w:eastAsia="宋体" w:cs="Arial"/>
          <w:szCs w:val="21"/>
          <w:shd w:val="clear" w:color="auto" w:fill="FFFFFF"/>
        </w:rPr>
        <w:t>间无交叉耐药性。</w:t>
      </w:r>
    </w:p>
    <w:p>
      <w:pPr>
        <w:widowControl/>
        <w:spacing w:line="360" w:lineRule="auto"/>
        <w:ind w:firstLine="420" w:firstLineChars="200"/>
        <w:jc w:val="left"/>
        <w:rPr>
          <w:rFonts w:ascii="Arial" w:hAnsi="Arial" w:eastAsia="宋体" w:cs="Arial"/>
          <w:szCs w:val="21"/>
          <w:shd w:val="clear" w:color="auto" w:fill="FFFFFF"/>
        </w:rPr>
      </w:pPr>
      <w:r>
        <w:rPr>
          <w:rFonts w:hint="eastAsia" w:ascii="宋体" w:hAnsi="宋体" w:eastAsia="宋体" w:cs="宋体"/>
          <w:color w:val="000000"/>
          <w:kern w:val="0"/>
          <w:szCs w:val="21"/>
          <w:lang w:bidi="ar"/>
        </w:rPr>
        <w:t>常见的喹诺酮类 药物有环丙沙星、恩诺沙星、氧氟沙星、沙拉沙星、诺氟沙星等，具有抗菌谱广、抗菌力强、组织穿透力强、给药方便、价格低廉等特点。</w:t>
      </w:r>
      <w:r>
        <w:rPr>
          <w:rFonts w:ascii="Arial" w:hAnsi="Arial" w:eastAsia="宋体" w:cs="Arial"/>
          <w:spacing w:val="9"/>
          <w:szCs w:val="21"/>
          <w:shd w:val="clear" w:color="auto" w:fill="FFFFFF"/>
        </w:rPr>
        <w:t>作为兽药和饲料添加剂被广泛用于养殖业中，以预防和治疗畜禽和鱼类细菌感染性疾病。</w:t>
      </w:r>
      <w:r>
        <w:rPr>
          <w:rFonts w:hint="eastAsia" w:ascii="宋体" w:hAnsi="宋体" w:eastAsia="宋体" w:cs="宋体"/>
          <w:color w:val="000000"/>
          <w:kern w:val="0"/>
          <w:szCs w:val="21"/>
          <w:lang w:bidi="ar"/>
        </w:rPr>
        <w:t>但由于药物滥用，</w:t>
      </w:r>
      <w:r>
        <w:rPr>
          <w:rFonts w:ascii="Arial" w:hAnsi="Arial" w:eastAsia="宋体" w:cs="Arial"/>
          <w:szCs w:val="21"/>
          <w:shd w:val="clear" w:color="auto" w:fill="FFFFFF"/>
        </w:rPr>
        <w:t>药物通过动物代谢经排泄物排出或直接进入水体而在土壤、水体、植物中残留，严重影响着人类的生存环境，最终影响人类的健康。</w:t>
      </w:r>
    </w:p>
    <w:p>
      <w:pPr>
        <w:spacing w:line="360" w:lineRule="auto"/>
        <w:ind w:firstLine="420" w:firstLineChars="200"/>
        <w:rPr>
          <w:rFonts w:ascii="Times New Roman" w:hAnsi="Times New Roman" w:eastAsia="宋体" w:cs="Times New Roman"/>
          <w:szCs w:val="21"/>
        </w:rPr>
      </w:pPr>
      <w:r>
        <w:rPr>
          <w:rFonts w:ascii="Times New Roman" w:hAnsi="Times New Roman" w:eastAsia="宋体" w:cs="Times New Roman"/>
          <w:szCs w:val="21"/>
        </w:rPr>
        <w:t>目前关于喹诺酮类抗生素含量检测有</w:t>
      </w:r>
      <w:r>
        <w:rPr>
          <w:rFonts w:ascii="Times New Roman" w:hAnsi="Times New Roman" w:eastAsia="宋体" w:cs="Times New Roman"/>
          <w:szCs w:val="21"/>
          <w:shd w:val="clear" w:color="auto" w:fill="FFFFFF"/>
        </w:rPr>
        <w:t xml:space="preserve">GB/T 21312-2007 </w:t>
      </w:r>
      <w:r>
        <w:rPr>
          <w:rFonts w:ascii="Times New Roman" w:hAnsi="Times New Roman" w:eastAsia="宋体" w:cs="Times New Roman"/>
          <w:szCs w:val="21"/>
        </w:rPr>
        <w:t>《</w:t>
      </w:r>
      <w:r>
        <w:rPr>
          <w:rFonts w:ascii="Times New Roman" w:hAnsi="Times New Roman" w:eastAsia="宋体" w:cs="Times New Roman"/>
          <w:szCs w:val="21"/>
          <w:shd w:val="clear" w:color="auto" w:fill="FFFFFF"/>
        </w:rPr>
        <w:t>动物源性食品中14种喹诺酮药物残留检测方法 液相色谱-质谱/质谱法</w:t>
      </w:r>
      <w:r>
        <w:rPr>
          <w:rFonts w:ascii="Times New Roman" w:hAnsi="Times New Roman" w:eastAsia="宋体" w:cs="Times New Roman"/>
          <w:szCs w:val="21"/>
        </w:rPr>
        <w:t>》、</w:t>
      </w:r>
      <w:r>
        <w:rPr>
          <w:rFonts w:ascii="Times New Roman" w:hAnsi="Times New Roman" w:eastAsia="宋体" w:cs="Times New Roman"/>
          <w:szCs w:val="21"/>
          <w:shd w:val="clear" w:color="auto" w:fill="FFFFFF"/>
        </w:rPr>
        <w:t>农业部1077号公告-1-2008</w:t>
      </w:r>
      <w:r>
        <w:rPr>
          <w:rFonts w:ascii="Times New Roman" w:hAnsi="Times New Roman" w:eastAsia="宋体" w:cs="Times New Roman"/>
          <w:szCs w:val="21"/>
        </w:rPr>
        <w:t>《</w:t>
      </w:r>
      <w:r>
        <w:rPr>
          <w:rFonts w:ascii="Times New Roman" w:hAnsi="Times New Roman" w:eastAsia="宋体" w:cs="Times New Roman"/>
          <w:szCs w:val="21"/>
          <w:shd w:val="clear" w:color="auto" w:fill="FFFFFF"/>
        </w:rPr>
        <w:t xml:space="preserve"> 水产品中17种磺胺类及15种喹诺酮类药物残留量的测定 液相色谱-串联质谱法</w:t>
      </w:r>
      <w:r>
        <w:rPr>
          <w:rFonts w:ascii="Times New Roman" w:hAnsi="Times New Roman" w:eastAsia="宋体" w:cs="Times New Roman"/>
          <w:szCs w:val="21"/>
        </w:rPr>
        <w:t>》 以及</w:t>
      </w:r>
      <w:r>
        <w:rPr>
          <w:rFonts w:ascii="Times New Roman" w:hAnsi="Times New Roman" w:eastAsia="宋体" w:cs="Times New Roman"/>
          <w:szCs w:val="21"/>
          <w:shd w:val="clear" w:color="auto" w:fill="FFFFFF"/>
        </w:rPr>
        <w:t xml:space="preserve">GB/T 23412-2009 </w:t>
      </w:r>
      <w:r>
        <w:rPr>
          <w:rFonts w:ascii="Times New Roman" w:hAnsi="Times New Roman" w:eastAsia="宋体" w:cs="Times New Roman"/>
          <w:szCs w:val="21"/>
        </w:rPr>
        <w:t>《</w:t>
      </w:r>
      <w:r>
        <w:rPr>
          <w:rFonts w:ascii="Times New Roman" w:hAnsi="Times New Roman" w:eastAsia="宋体" w:cs="Times New Roman"/>
          <w:szCs w:val="21"/>
          <w:shd w:val="clear" w:color="auto" w:fill="FFFFFF"/>
        </w:rPr>
        <w:t>蜂蜜中19种喹诺酮类药物残留量的测定方法 液相色谱-质谱质谱法</w:t>
      </w:r>
      <w:r>
        <w:rPr>
          <w:rFonts w:ascii="Times New Roman" w:hAnsi="Times New Roman" w:eastAsia="宋体" w:cs="Times New Roman"/>
          <w:szCs w:val="21"/>
        </w:rPr>
        <w:t>》、</w:t>
      </w:r>
      <w:r>
        <w:rPr>
          <w:rFonts w:ascii="Times New Roman" w:hAnsi="Times New Roman" w:eastAsia="宋体" w:cs="Times New Roman"/>
          <w:szCs w:val="21"/>
          <w:shd w:val="clear" w:color="auto" w:fill="FFFFFF"/>
        </w:rPr>
        <w:t xml:space="preserve">GB 29692-2013 </w:t>
      </w:r>
      <w:r>
        <w:rPr>
          <w:rFonts w:ascii="Times New Roman" w:hAnsi="Times New Roman" w:eastAsia="宋体" w:cs="Times New Roman"/>
          <w:szCs w:val="21"/>
        </w:rPr>
        <w:t>《</w:t>
      </w:r>
      <w:r>
        <w:rPr>
          <w:rFonts w:ascii="Times New Roman" w:hAnsi="Times New Roman" w:eastAsia="宋体" w:cs="Times New Roman"/>
          <w:szCs w:val="21"/>
          <w:shd w:val="clear" w:color="auto" w:fill="FFFFFF"/>
        </w:rPr>
        <w:t>食品安全国家标准 牛奶中喹诺酮类药物多残留的测定 高效液相色谱法</w:t>
      </w:r>
      <w:r>
        <w:rPr>
          <w:rFonts w:ascii="Times New Roman" w:hAnsi="Times New Roman" w:eastAsia="宋体" w:cs="Times New Roman"/>
          <w:szCs w:val="21"/>
        </w:rPr>
        <w:t>》、</w:t>
      </w:r>
      <w:r>
        <w:rPr>
          <w:rFonts w:ascii="Times New Roman" w:hAnsi="Times New Roman" w:eastAsia="宋体" w:cs="Times New Roman"/>
          <w:szCs w:val="21"/>
          <w:shd w:val="clear" w:color="auto" w:fill="FFFFFF"/>
        </w:rPr>
        <w:t>农业部2349号公告-5-2015</w:t>
      </w:r>
      <w:r>
        <w:rPr>
          <w:rFonts w:ascii="Times New Roman" w:hAnsi="Times New Roman" w:eastAsia="宋体" w:cs="Times New Roman"/>
          <w:szCs w:val="21"/>
        </w:rPr>
        <w:t>《</w:t>
      </w:r>
      <w:r>
        <w:rPr>
          <w:rFonts w:ascii="Times New Roman" w:hAnsi="Times New Roman" w:eastAsia="宋体" w:cs="Times New Roman"/>
          <w:szCs w:val="21"/>
          <w:shd w:val="clear" w:color="auto" w:fill="FFFFFF"/>
        </w:rPr>
        <w:t xml:space="preserve"> 饲料中磺胺类和喹诺酮类药物的测定 液相色谱串联质谱法</w:t>
      </w:r>
      <w:r>
        <w:rPr>
          <w:rFonts w:ascii="Times New Roman" w:hAnsi="Times New Roman" w:eastAsia="宋体" w:cs="Times New Roman"/>
          <w:szCs w:val="21"/>
        </w:rPr>
        <w:t>》 等相关标准和方法，但没有关于养殖场污水中的喹诺酮类药物的检测标准。</w:t>
      </w:r>
    </w:p>
    <w:p>
      <w:pPr>
        <w:spacing w:line="360" w:lineRule="auto"/>
        <w:ind w:firstLine="525" w:firstLineChars="250"/>
        <w:rPr>
          <w:rFonts w:ascii="Times New Roman" w:hAnsi="Times New Roman" w:cs="Times New Roman"/>
          <w:szCs w:val="21"/>
        </w:rPr>
      </w:pPr>
      <w:r>
        <w:rPr>
          <w:rFonts w:ascii="Times New Roman" w:hAnsi="Times New Roman" w:eastAsia="宋体" w:cs="Times New Roman"/>
          <w:color w:val="000000"/>
          <w:kern w:val="0"/>
          <w:szCs w:val="21"/>
        </w:rPr>
        <w:t>根据国内外文献报道，用于喹诺酮药物的检测方法主要酶联免疫吸附法(ELISA)、毛细管电泳法(CE)、比色法、化学光谱分析法、高效液相色谱法(HPLC)和液相色谱串联质谱法(LC-MS/MS)等。</w:t>
      </w:r>
      <w:r>
        <w:rPr>
          <w:rFonts w:ascii="Times New Roman" w:hAnsi="Times New Roman" w:eastAsia="宋体" w:cs="Times New Roman"/>
          <w:color w:val="000000"/>
          <w:kern w:val="0"/>
          <w:szCs w:val="21"/>
          <w:lang w:bidi="ar"/>
        </w:rPr>
        <w:t xml:space="preserve">国家标准中喹诺酮类药物残留检测方法主要为高效液相色谱法( HPLC) 、超高效液相色谱法( UHPLC) 、 高效液相色谱－质谱联用法( </w:t>
      </w:r>
      <w:r>
        <w:rPr>
          <w:rFonts w:ascii="Times New Roman" w:hAnsi="Times New Roman" w:eastAsia="宋体" w:cs="Times New Roman"/>
          <w:color w:val="000000"/>
          <w:kern w:val="0"/>
          <w:szCs w:val="21"/>
        </w:rPr>
        <w:t>LC-MS/MS)</w:t>
      </w:r>
      <w:r>
        <w:rPr>
          <w:rFonts w:ascii="Times New Roman" w:hAnsi="Times New Roman" w:eastAsia="宋体" w:cs="Times New Roman"/>
          <w:color w:val="000000"/>
          <w:kern w:val="0"/>
          <w:szCs w:val="21"/>
          <w:lang w:bidi="ar"/>
        </w:rPr>
        <w:t>)。</w:t>
      </w:r>
      <w:r>
        <w:rPr>
          <w:rFonts w:ascii="Times New Roman" w:hAnsi="Times New Roman" w:eastAsia="宋体" w:cs="Times New Roman"/>
          <w:color w:val="000000"/>
          <w:kern w:val="0"/>
          <w:szCs w:val="21"/>
        </w:rPr>
        <w:t>随着各国规定的最高残留限量日益降低，其由于检测器的限制，无法满足低残留检测的需求。液相色谱-串联质谱法(LC-MS/MS)可以根据药物的特征离子和保留时间定性和定量分析，具有抗干扰能力强，检测限低，灵敏度高的特点，可满足各种基质下对药物的检测需求，是目前最为准确的检测方法之一。国内相关文献的报道，养殖场污水、地表水、水中喹诺</w:t>
      </w:r>
      <w:r>
        <w:rPr>
          <w:rFonts w:ascii="Times New Roman" w:hAnsi="Times New Roman" w:eastAsia="宋体" w:cs="Times New Roman"/>
          <w:kern w:val="0"/>
          <w:szCs w:val="21"/>
        </w:rPr>
        <w:t>酮类药物的检测，</w:t>
      </w:r>
      <w:r>
        <w:rPr>
          <w:rFonts w:ascii="Times New Roman" w:hAnsi="Times New Roman" w:cs="Times New Roman"/>
          <w:szCs w:val="21"/>
        </w:rPr>
        <w:t>主要原理为</w:t>
      </w:r>
      <w:r>
        <w:rPr>
          <w:rFonts w:ascii="Times New Roman" w:hAnsi="Times New Roman" w:eastAsia="宋体" w:cs="Times New Roman"/>
          <w:szCs w:val="21"/>
          <w:shd w:val="clear" w:color="auto" w:fill="FFFFFF"/>
        </w:rPr>
        <w:t>水样过滤或是经甲酸酸化PH调节后,采用HLB固相萃取柱富集并净化目标物,</w:t>
      </w:r>
      <w:r>
        <w:rPr>
          <w:rFonts w:ascii="Times New Roman" w:hAnsi="Times New Roman" w:cs="Times New Roman"/>
          <w:szCs w:val="21"/>
        </w:rPr>
        <w:t>再用甲醇或乙腈洗脱，真空旋转蒸发或氮吹浓缩后用</w:t>
      </w:r>
      <w:r>
        <w:rPr>
          <w:rFonts w:ascii="Times New Roman" w:hAnsi="Times New Roman" w:eastAsia="宋体" w:cs="Times New Roman"/>
          <w:szCs w:val="21"/>
        </w:rPr>
        <w:t>液相色谱-串联质谱</w:t>
      </w:r>
      <w:r>
        <w:rPr>
          <w:rFonts w:ascii="Times New Roman" w:hAnsi="Times New Roman" w:cs="Times New Roman"/>
          <w:szCs w:val="21"/>
        </w:rPr>
        <w:t>测定。无法将基质中的无机物杂质去除干净，影响色谱分离；方法繁琐，多次转移容易造成药物的损失。</w:t>
      </w:r>
    </w:p>
    <w:p>
      <w:pPr>
        <w:spacing w:line="360" w:lineRule="auto"/>
        <w:ind w:firstLine="525" w:firstLineChars="250"/>
        <w:rPr>
          <w:rFonts w:ascii="Times New Roman" w:hAnsi="Times New Roman" w:cs="Times New Roman"/>
          <w:szCs w:val="21"/>
        </w:rPr>
      </w:pPr>
      <w:r>
        <w:rPr>
          <w:rFonts w:ascii="Times New Roman" w:hAnsi="Times New Roman" w:cs="Times New Roman"/>
          <w:szCs w:val="21"/>
        </w:rPr>
        <w:t>四环素类抗生素（tetracyclines, TCs)是由</w:t>
      </w:r>
      <w:r>
        <w:fldChar w:fldCharType="begin"/>
      </w:r>
      <w:r>
        <w:instrText xml:space="preserve"> HYPERLINK "http://baike.baidu.com/view/35926.htm" \t "_blank" </w:instrText>
      </w:r>
      <w:r>
        <w:fldChar w:fldCharType="separate"/>
      </w:r>
      <w:r>
        <w:rPr>
          <w:rFonts w:ascii="Times New Roman" w:hAnsi="Times New Roman" w:cs="Times New Roman"/>
          <w:szCs w:val="21"/>
        </w:rPr>
        <w:t>放线菌</w:t>
      </w:r>
      <w:r>
        <w:rPr>
          <w:rFonts w:ascii="Times New Roman" w:hAnsi="Times New Roman" w:cs="Times New Roman"/>
          <w:szCs w:val="21"/>
        </w:rPr>
        <w:fldChar w:fldCharType="end"/>
      </w:r>
      <w:r>
        <w:rPr>
          <w:rFonts w:ascii="Times New Roman" w:hAnsi="Times New Roman" w:cs="Times New Roman"/>
          <w:szCs w:val="21"/>
        </w:rPr>
        <w:t>产生的一类</w:t>
      </w:r>
      <w:r>
        <w:fldChar w:fldCharType="begin"/>
      </w:r>
      <w:r>
        <w:instrText xml:space="preserve"> HYPERLINK "http://baike.baidu.com/view/869534.htm" \t "_blank" </w:instrText>
      </w:r>
      <w:r>
        <w:fldChar w:fldCharType="separate"/>
      </w:r>
      <w:r>
        <w:rPr>
          <w:rFonts w:ascii="Times New Roman" w:hAnsi="Times New Roman" w:cs="Times New Roman"/>
          <w:szCs w:val="21"/>
        </w:rPr>
        <w:t>广谱抗生素</w:t>
      </w:r>
      <w:r>
        <w:rPr>
          <w:rFonts w:ascii="Times New Roman" w:hAnsi="Times New Roman" w:cs="Times New Roman"/>
          <w:szCs w:val="21"/>
        </w:rPr>
        <w:fldChar w:fldCharType="end"/>
      </w:r>
      <w:r>
        <w:rPr>
          <w:rFonts w:ascii="Times New Roman" w:hAnsi="Times New Roman" w:cs="Times New Roman"/>
          <w:szCs w:val="21"/>
        </w:rPr>
        <w:t>，包括金霉素（chlotetracyclines)、</w:t>
      </w:r>
      <w:r>
        <w:fldChar w:fldCharType="begin"/>
      </w:r>
      <w:r>
        <w:instrText xml:space="preserve"> HYPERLINK "http://baike.baidu.com/view/97179.htm" \t "_blank" </w:instrText>
      </w:r>
      <w:r>
        <w:fldChar w:fldCharType="separate"/>
      </w:r>
      <w:r>
        <w:rPr>
          <w:rFonts w:ascii="Times New Roman" w:hAnsi="Times New Roman" w:cs="Times New Roman"/>
          <w:szCs w:val="21"/>
        </w:rPr>
        <w:t>土霉素</w:t>
      </w:r>
      <w:r>
        <w:rPr>
          <w:rFonts w:ascii="Times New Roman" w:hAnsi="Times New Roman" w:cs="Times New Roman"/>
          <w:szCs w:val="21"/>
        </w:rPr>
        <w:fldChar w:fldCharType="end"/>
      </w:r>
      <w:r>
        <w:rPr>
          <w:rFonts w:ascii="Times New Roman" w:hAnsi="Times New Roman" w:cs="Times New Roman"/>
          <w:szCs w:val="21"/>
        </w:rPr>
        <w:t>（oxytetracyclines）、四环素（tetracyclines）及半合成衍生物</w:t>
      </w:r>
      <w:r>
        <w:fldChar w:fldCharType="begin"/>
      </w:r>
      <w:r>
        <w:instrText xml:space="preserve"> HYPERLINK "http://baike.baidu.com/view/97185.htm" \t "_blank" </w:instrText>
      </w:r>
      <w:r>
        <w:fldChar w:fldCharType="separate"/>
      </w:r>
      <w:r>
        <w:rPr>
          <w:rFonts w:ascii="Times New Roman" w:hAnsi="Times New Roman" w:cs="Times New Roman"/>
          <w:szCs w:val="21"/>
        </w:rPr>
        <w:t>甲烯土霉素</w:t>
      </w:r>
      <w:r>
        <w:rPr>
          <w:rFonts w:ascii="Times New Roman" w:hAnsi="Times New Roman" w:cs="Times New Roman"/>
          <w:szCs w:val="21"/>
        </w:rPr>
        <w:fldChar w:fldCharType="end"/>
      </w:r>
      <w:r>
        <w:rPr>
          <w:rFonts w:ascii="Times New Roman" w:hAnsi="Times New Roman" w:cs="Times New Roman"/>
          <w:szCs w:val="21"/>
        </w:rPr>
        <w:t>、强力霉素、二甲胺基四环素等。其对革兰氏阳性菌、阴性菌、立克次体、滤过性病毒、螺旋体属乃至原虫类都有很好的抑制作用, 对多种</w:t>
      </w:r>
      <w:r>
        <w:fldChar w:fldCharType="begin"/>
      </w:r>
      <w:r>
        <w:instrText xml:space="preserve"> HYPERLINK "http://baike.baidu.com/view/19168.htm" \t "_blank" </w:instrText>
      </w:r>
      <w:r>
        <w:fldChar w:fldCharType="separate"/>
      </w:r>
      <w:r>
        <w:rPr>
          <w:rFonts w:ascii="Times New Roman" w:hAnsi="Times New Roman" w:cs="Times New Roman"/>
          <w:szCs w:val="21"/>
        </w:rPr>
        <w:t>细菌</w:t>
      </w:r>
      <w:r>
        <w:rPr>
          <w:rFonts w:ascii="Times New Roman" w:hAnsi="Times New Roman" w:cs="Times New Roman"/>
          <w:szCs w:val="21"/>
        </w:rPr>
        <w:fldChar w:fldCharType="end"/>
      </w:r>
      <w:r>
        <w:rPr>
          <w:rFonts w:ascii="Times New Roman" w:hAnsi="Times New Roman" w:cs="Times New Roman"/>
          <w:szCs w:val="21"/>
        </w:rPr>
        <w:t>以及衣原体、支原体感染等具有很好的治疗作用，在畜禽疾病的预防和治疗中应用十分普遍。</w:t>
      </w:r>
    </w:p>
    <w:p>
      <w:pPr>
        <w:spacing w:line="360" w:lineRule="auto"/>
        <w:ind w:firstLine="525" w:firstLineChars="250"/>
        <w:rPr>
          <w:rFonts w:ascii="Times New Roman" w:hAnsi="Times New Roman" w:cs="Times New Roman"/>
          <w:szCs w:val="21"/>
        </w:rPr>
      </w:pPr>
      <w:r>
        <w:rPr>
          <w:rFonts w:ascii="Times New Roman" w:hAnsi="Times New Roman" w:cs="Times New Roman"/>
          <w:szCs w:val="21"/>
        </w:rPr>
        <w:t>四环素类兽用抗生素并不会完全被动物所吸收，除少部分参与机体代谢反应发挥药效外，约有70% ~ 90%的抗生素将随着畜禽粪便和尿液排入到环境中。目前畜禽养殖废弃物的的主要处理和利用方式为农田利用，因此大量的抗生素随之进入土壤环境。由于抗生素能够在土壤中持久存在，并随着畜禽污水逐年的施入，可能会在土壤中逐年累积，从而对环境安全和农产品安全构成巨大潜在危害。</w:t>
      </w:r>
    </w:p>
    <w:p>
      <w:pPr>
        <w:spacing w:line="360" w:lineRule="auto"/>
        <w:ind w:firstLine="525" w:firstLineChars="250"/>
        <w:rPr>
          <w:rFonts w:ascii="Times New Roman" w:hAnsi="Times New Roman" w:cs="Times New Roman"/>
          <w:szCs w:val="21"/>
        </w:rPr>
      </w:pPr>
      <w:r>
        <w:rPr>
          <w:rFonts w:ascii="Times New Roman" w:hAnsi="Times New Roman" w:cs="Times New Roman"/>
          <w:szCs w:val="21"/>
        </w:rPr>
        <w:t>目前，国内关于四环素类抗生素的相关检测标准和方法有《饲料中土霉素的测定 高效液相色谱法》（GB/T 22259-2008）、《饲料中金霉素的测定 高效液相色谱法》（GB /T19684-2005），《畜禽肉中土霉素、四环素、金霉素残留量测定方法高效液相色谱法》（GB /T</w:t>
      </w:r>
      <w:r>
        <w:rPr>
          <w:rFonts w:hint="eastAsia" w:ascii="Times New Roman" w:hAnsi="Times New Roman" w:cs="Times New Roman"/>
          <w:szCs w:val="21"/>
        </w:rPr>
        <w:t xml:space="preserve"> 5009.116</w:t>
      </w:r>
      <w:r>
        <w:rPr>
          <w:rFonts w:ascii="Times New Roman" w:hAnsi="Times New Roman" w:cs="Times New Roman"/>
          <w:szCs w:val="21"/>
        </w:rPr>
        <w:t>-2003），《可食动物肌肉中土霉素、四环素、金霉素、强力霉素残留量的测定 液相色谱-紫外检测法》（GB/T 20764-2006），《水产品中土霉素、四环素、金霉素残留量的测定》（SC/T 3015-2002），《蜂蜜中土霉素、四环素、金霉素、强力霉素残留量的测定方法 液相色谱法》（GB/T 18932.4-2002），《动物源性食品中四环素类兽药残留量检测方法 液相色谱-质谱/质谱法与高效液相色谱法》（GB/T 21317-2007），《</w:t>
      </w:r>
      <w:r>
        <w:rPr>
          <w:rFonts w:hint="eastAsia" w:ascii="Times New Roman" w:hAnsi="Times New Roman" w:cs="Times New Roman"/>
          <w:szCs w:val="21"/>
        </w:rPr>
        <w:t>有机肥料</w:t>
      </w:r>
      <w:r>
        <w:rPr>
          <w:rFonts w:ascii="Times New Roman" w:hAnsi="Times New Roman" w:cs="Times New Roman"/>
          <w:szCs w:val="21"/>
        </w:rPr>
        <w:t>中土霉素、四环素、金霉素、强力霉素的</w:t>
      </w:r>
      <w:r>
        <w:rPr>
          <w:rFonts w:hint="eastAsia" w:ascii="Times New Roman" w:hAnsi="Times New Roman" w:cs="Times New Roman"/>
          <w:szCs w:val="21"/>
        </w:rPr>
        <w:t>含量</w:t>
      </w:r>
      <w:r>
        <w:rPr>
          <w:rFonts w:ascii="Times New Roman" w:hAnsi="Times New Roman" w:cs="Times New Roman"/>
          <w:szCs w:val="21"/>
        </w:rPr>
        <w:t xml:space="preserve">测定 高效液相色谱法》（GB/T </w:t>
      </w:r>
      <w:r>
        <w:rPr>
          <w:rFonts w:hint="eastAsia" w:ascii="Times New Roman" w:hAnsi="Times New Roman" w:cs="Times New Roman"/>
          <w:szCs w:val="21"/>
        </w:rPr>
        <w:t>32951</w:t>
      </w:r>
      <w:r>
        <w:rPr>
          <w:rFonts w:ascii="Times New Roman" w:hAnsi="Times New Roman" w:cs="Times New Roman"/>
          <w:szCs w:val="21"/>
        </w:rPr>
        <w:t>-</w:t>
      </w:r>
      <w:r>
        <w:rPr>
          <w:rFonts w:hint="eastAsia" w:ascii="Times New Roman" w:hAnsi="Times New Roman" w:cs="Times New Roman"/>
          <w:szCs w:val="21"/>
        </w:rPr>
        <w:t>2016</w:t>
      </w:r>
      <w:r>
        <w:rPr>
          <w:rFonts w:ascii="Times New Roman" w:hAnsi="Times New Roman" w:cs="Times New Roman"/>
          <w:szCs w:val="21"/>
        </w:rPr>
        <w:t>）而没有关于污水中四环类抗生素的检测方法。</w:t>
      </w:r>
    </w:p>
    <w:p>
      <w:pPr>
        <w:spacing w:line="360" w:lineRule="auto"/>
        <w:ind w:firstLine="525" w:firstLineChars="250"/>
        <w:rPr>
          <w:rFonts w:ascii="Times New Roman" w:hAnsi="Times New Roman" w:cs="Times New Roman"/>
          <w:szCs w:val="21"/>
        </w:rPr>
      </w:pPr>
      <w:r>
        <w:rPr>
          <w:rFonts w:ascii="Times New Roman" w:hAnsi="Times New Roman" w:cs="Times New Roman"/>
          <w:szCs w:val="21"/>
        </w:rPr>
        <w:t>随着人们对四环类抗生素危害的逐渐关注，关于对四环素类抗生素的检测方法和技术也成为研究的热点。四环素类抗生素结构均含并四苯基本骨架，并有许多羟基、烯醇羟基及羰基，其在酸性和碱性条件下均不稳定，在中性条件下能与多种金属离子形成不溶性螯合物。与钙或镁离子形成不溶性的钙盐或镁盐，与铁离子形成红色络合物，与铝离子形成黄色络合物，因此关于四环类抗生素测定的难点在于如何提取和最终测定。目前，国内外对畜禽粪便中四环素类抗生素的检测方法主要有高效液相色谱法、生物传感器法和酶联免疫吸附试验法等。由于色谱法具有快速、灵敏和特异性高等优点，目前是应用最为普遍的方法之一，主要原理为采用EDTA -Mc Ilvaine缓冲溶液，经HLB小柱纯化富集，再用甲醇或乙腈洗脱，真空旋转蒸发浓缩后用高效液相色谱测定。</w:t>
      </w:r>
    </w:p>
    <w:p>
      <w:pPr>
        <w:spacing w:line="360" w:lineRule="auto"/>
        <w:ind w:firstLine="420" w:firstLineChars="200"/>
        <w:rPr>
          <w:rFonts w:ascii="Times New Roman" w:hAnsi="Times New Roman" w:eastAsia="黑体" w:cs="Times New Roman"/>
          <w:sz w:val="30"/>
        </w:rPr>
      </w:pPr>
      <w:r>
        <w:rPr>
          <w:rFonts w:ascii="Times New Roman" w:hAnsi="Times New Roman" w:cs="Times New Roman"/>
          <w:szCs w:val="21"/>
        </w:rPr>
        <w:t>但由于畜禽污水的成分相对复杂，目前相关方法可能无法将有机物等物质完全去除，在液相色谱的检测中很容易形成干扰峰，从而影响色谱分离效果，此外，该套方法操作繁琐，多次转移造成抗生素的损失，造成测定结果相对偏低。因此对养殖粪便抗生素含量目前现有的测定方法进行优化，明确一种准确、快捷的畜禽养殖废弃物中四环类抗生素含量的测定方法是非常必要的。</w:t>
      </w:r>
    </w:p>
    <w:p>
      <w:pPr>
        <w:spacing w:line="580" w:lineRule="exact"/>
        <w:rPr>
          <w:rFonts w:ascii="Times New Roman" w:hAnsi="Times New Roman" w:eastAsia="黑体" w:cs="Times New Roman"/>
          <w:sz w:val="30"/>
        </w:rPr>
      </w:pPr>
      <w:r>
        <w:rPr>
          <w:rFonts w:hint="eastAsia" w:ascii="Times New Roman" w:hAnsi="Times New Roman" w:eastAsia="黑体" w:cs="Times New Roman"/>
          <w:sz w:val="30"/>
        </w:rPr>
        <w:t>二、</w:t>
      </w:r>
      <w:r>
        <w:rPr>
          <w:rFonts w:ascii="Times New Roman" w:hAnsi="Times New Roman" w:eastAsia="黑体" w:cs="Times New Roman"/>
          <w:sz w:val="30"/>
        </w:rPr>
        <w:t>主要工作过程</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本标准在制定项目任务下达以前，我单位就成立了标准起草小组，负责标准的研制和编制起草工作。编制组成立后，进行了广泛的调查和深入研究工作，具体时间进度安排如下所示。</w:t>
      </w:r>
    </w:p>
    <w:p>
      <w:pPr>
        <w:spacing w:line="360" w:lineRule="auto"/>
        <w:ind w:firstLine="420" w:firstLineChars="200"/>
        <w:rPr>
          <w:rFonts w:ascii="Times New Roman" w:hAnsi="Times New Roman" w:eastAsia="宋体" w:cs="Times New Roman"/>
        </w:rPr>
      </w:pPr>
      <w:r>
        <w:rPr>
          <w:rFonts w:hint="eastAsia" w:ascii="Times New Roman" w:hAnsi="Times New Roman" w:eastAsia="宋体" w:cs="Times New Roman"/>
        </w:rPr>
        <w:t>1.起草阶段：</w:t>
      </w:r>
    </w:p>
    <w:p>
      <w:pPr>
        <w:spacing w:line="360" w:lineRule="auto"/>
        <w:ind w:firstLine="420" w:firstLineChars="200"/>
        <w:rPr>
          <w:rFonts w:ascii="Times New Roman" w:hAnsi="Times New Roman" w:cs="Times New Roman"/>
          <w:szCs w:val="32"/>
        </w:rPr>
      </w:pPr>
      <w:r>
        <w:rPr>
          <w:rFonts w:ascii="Times New Roman" w:hAnsi="Times New Roman" w:cs="Times New Roman"/>
          <w:szCs w:val="32"/>
        </w:rPr>
        <w:t>2017年1-12月，完成文献检索，相关标准品购买，收集样品。</w:t>
      </w:r>
    </w:p>
    <w:p>
      <w:pPr>
        <w:spacing w:line="360" w:lineRule="auto"/>
        <w:ind w:firstLine="420" w:firstLineChars="200"/>
        <w:rPr>
          <w:rFonts w:ascii="Times New Roman" w:hAnsi="Times New Roman" w:eastAsia="宋体" w:cs="Times New Roman"/>
        </w:rPr>
      </w:pPr>
      <w:r>
        <w:rPr>
          <w:rFonts w:ascii="Times New Roman" w:hAnsi="Times New Roman" w:cs="Times New Roman"/>
          <w:szCs w:val="32"/>
        </w:rPr>
        <w:t>2018年1-9月，完成所有的方法开发等试验工作。</w:t>
      </w:r>
      <w:r>
        <w:rPr>
          <w:rFonts w:ascii="Times New Roman" w:hAnsi="Times New Roman" w:eastAsia="宋体" w:cs="Times New Roman"/>
        </w:rPr>
        <w:t>样品前处理方面，采用固液振荡提取、QuEChERS方法方法处理待测样品，然后上液相色谱-串联质谱测定。</w:t>
      </w:r>
    </w:p>
    <w:p>
      <w:pPr>
        <w:spacing w:line="360" w:lineRule="auto"/>
        <w:ind w:firstLine="420" w:firstLineChars="200"/>
        <w:rPr>
          <w:rFonts w:ascii="Times New Roman" w:hAnsi="Times New Roman" w:cs="Times New Roman"/>
          <w:szCs w:val="32"/>
        </w:rPr>
      </w:pPr>
      <w:r>
        <w:rPr>
          <w:rFonts w:ascii="Times New Roman" w:hAnsi="Times New Roman" w:cs="Times New Roman"/>
          <w:szCs w:val="32"/>
        </w:rPr>
        <w:t>2018年10-2019年2月，撰写标准草案及编制说明。</w:t>
      </w:r>
    </w:p>
    <w:p>
      <w:pPr>
        <w:spacing w:line="360" w:lineRule="auto"/>
        <w:ind w:firstLine="420" w:firstLineChars="200"/>
        <w:rPr>
          <w:rFonts w:ascii="Times New Roman" w:hAnsi="Times New Roman" w:cs="Times New Roman"/>
          <w:szCs w:val="32"/>
        </w:rPr>
      </w:pPr>
      <w:r>
        <w:rPr>
          <w:rFonts w:hint="eastAsia" w:ascii="Times New Roman" w:hAnsi="Times New Roman" w:cs="Times New Roman"/>
          <w:szCs w:val="32"/>
        </w:rPr>
        <w:t>2.定向征求意见阶段：</w:t>
      </w:r>
    </w:p>
    <w:p>
      <w:pPr>
        <w:spacing w:line="360" w:lineRule="auto"/>
        <w:ind w:firstLine="420" w:firstLineChars="200"/>
        <w:rPr>
          <w:rFonts w:ascii="Times New Roman" w:hAnsi="Times New Roman" w:cs="Times New Roman"/>
          <w:szCs w:val="32"/>
        </w:rPr>
      </w:pPr>
      <w:r>
        <w:rPr>
          <w:rFonts w:ascii="Times New Roman" w:hAnsi="Times New Roman" w:cs="Times New Roman"/>
          <w:szCs w:val="32"/>
        </w:rPr>
        <w:t>2019年2-6月，完成标准草案及编制说明编写，送专家函审。</w:t>
      </w:r>
    </w:p>
    <w:p>
      <w:pPr>
        <w:spacing w:line="360" w:lineRule="auto"/>
        <w:ind w:firstLine="420" w:firstLineChars="200"/>
        <w:rPr>
          <w:rFonts w:ascii="Times New Roman" w:hAnsi="Times New Roman" w:cs="Times New Roman"/>
          <w:szCs w:val="32"/>
        </w:rPr>
      </w:pPr>
      <w:r>
        <w:rPr>
          <w:rFonts w:ascii="Times New Roman" w:hAnsi="Times New Roman" w:cs="Times New Roman"/>
          <w:szCs w:val="32"/>
        </w:rPr>
        <w:t>2019年7-9月，汇总整理专家意见，形成标准</w:t>
      </w:r>
      <w:r>
        <w:rPr>
          <w:rFonts w:hint="eastAsia" w:ascii="Times New Roman" w:hAnsi="Times New Roman" w:cs="Times New Roman"/>
          <w:szCs w:val="32"/>
        </w:rPr>
        <w:t>征</w:t>
      </w:r>
      <w:r>
        <w:rPr>
          <w:rFonts w:ascii="Times New Roman" w:hAnsi="Times New Roman" w:cs="Times New Roman"/>
          <w:szCs w:val="32"/>
        </w:rPr>
        <w:t>求意见稿。</w:t>
      </w:r>
      <w:r>
        <w:rPr>
          <w:rFonts w:hint="eastAsia" w:ascii="Times New Roman" w:hAnsi="Times New Roman" w:cs="Times New Roman"/>
          <w:szCs w:val="32"/>
        </w:rPr>
        <w:t>征求意见结果汇总如下：</w:t>
      </w:r>
    </w:p>
    <w:p>
      <w:pPr>
        <w:spacing w:line="400" w:lineRule="exact"/>
        <w:ind w:firstLine="630" w:firstLineChars="300"/>
        <w:rPr>
          <w:rFonts w:ascii="Times New Roman" w:hAnsi="Times New Roman" w:cs="Times New Roman"/>
          <w:szCs w:val="32"/>
        </w:rPr>
      </w:pPr>
      <w:r>
        <w:rPr>
          <w:rFonts w:hint="eastAsia" w:ascii="Times New Roman" w:hAnsi="Times New Roman" w:cs="Times New Roman"/>
          <w:szCs w:val="32"/>
        </w:rPr>
        <w:t>①发送“征求意见稿”的单位数： 25</w:t>
      </w:r>
      <w:r>
        <w:rPr>
          <w:rFonts w:ascii="Times New Roman" w:hAnsi="Times New Roman" w:cs="Times New Roman"/>
          <w:szCs w:val="32"/>
        </w:rPr>
        <w:t xml:space="preserve"> 个；</w:t>
      </w:r>
    </w:p>
    <w:p>
      <w:pPr>
        <w:spacing w:line="400" w:lineRule="exact"/>
        <w:ind w:firstLine="630" w:firstLineChars="300"/>
        <w:rPr>
          <w:rFonts w:ascii="Times New Roman" w:hAnsi="Times New Roman" w:cs="Times New Roman"/>
          <w:szCs w:val="32"/>
        </w:rPr>
      </w:pPr>
      <w:r>
        <w:rPr>
          <w:rFonts w:hint="eastAsia" w:ascii="Times New Roman" w:hAnsi="Times New Roman" w:cs="Times New Roman"/>
          <w:szCs w:val="32"/>
        </w:rPr>
        <w:t>②收到“征求意见稿”后，回函的单位数： 20</w:t>
      </w:r>
      <w:r>
        <w:rPr>
          <w:rFonts w:ascii="Times New Roman" w:hAnsi="Times New Roman" w:cs="Times New Roman"/>
          <w:szCs w:val="32"/>
        </w:rPr>
        <w:t xml:space="preserve"> 个；</w:t>
      </w:r>
    </w:p>
    <w:p>
      <w:pPr>
        <w:spacing w:line="400" w:lineRule="exact"/>
        <w:ind w:firstLine="630" w:firstLineChars="300"/>
        <w:rPr>
          <w:rFonts w:ascii="Times New Roman" w:hAnsi="Times New Roman" w:cs="Times New Roman"/>
          <w:szCs w:val="32"/>
        </w:rPr>
      </w:pPr>
      <w:r>
        <w:rPr>
          <w:rFonts w:hint="eastAsia" w:ascii="Times New Roman" w:hAnsi="Times New Roman" w:cs="Times New Roman"/>
          <w:szCs w:val="32"/>
        </w:rPr>
        <w:t>③</w:t>
      </w:r>
      <w:r>
        <w:rPr>
          <w:rFonts w:ascii="Times New Roman" w:hAnsi="Times New Roman" w:cs="Times New Roman"/>
          <w:szCs w:val="32"/>
        </w:rPr>
        <w:t>收到“征求意见稿”后，回函并有建议或意见的单位数：</w:t>
      </w:r>
      <w:r>
        <w:rPr>
          <w:rFonts w:hint="eastAsia" w:ascii="Times New Roman" w:hAnsi="Times New Roman" w:cs="Times New Roman"/>
          <w:szCs w:val="32"/>
        </w:rPr>
        <w:t>20</w:t>
      </w:r>
      <w:r>
        <w:rPr>
          <w:rFonts w:ascii="Times New Roman" w:hAnsi="Times New Roman" w:cs="Times New Roman"/>
          <w:szCs w:val="32"/>
        </w:rPr>
        <w:t>个；</w:t>
      </w:r>
    </w:p>
    <w:p>
      <w:pPr>
        <w:spacing w:line="400" w:lineRule="exact"/>
        <w:ind w:firstLine="630" w:firstLineChars="300"/>
        <w:rPr>
          <w:rFonts w:ascii="Times New Roman" w:hAnsi="Times New Roman" w:cs="Times New Roman"/>
          <w:szCs w:val="32"/>
        </w:rPr>
      </w:pPr>
      <w:r>
        <w:rPr>
          <w:rFonts w:hint="eastAsia" w:ascii="Times New Roman" w:hAnsi="Times New Roman" w:cs="Times New Roman"/>
          <w:szCs w:val="32"/>
        </w:rPr>
        <w:t>④</w:t>
      </w:r>
      <w:r>
        <w:rPr>
          <w:rFonts w:ascii="Times New Roman" w:hAnsi="Times New Roman" w:cs="Times New Roman"/>
          <w:szCs w:val="32"/>
        </w:rPr>
        <w:t>没有回函的单位数  </w:t>
      </w:r>
      <w:r>
        <w:rPr>
          <w:rFonts w:hint="eastAsia" w:ascii="Times New Roman" w:hAnsi="Times New Roman" w:cs="Times New Roman"/>
          <w:szCs w:val="32"/>
        </w:rPr>
        <w:t>5</w:t>
      </w:r>
      <w:r>
        <w:rPr>
          <w:rFonts w:ascii="Times New Roman" w:hAnsi="Times New Roman" w:cs="Times New Roman"/>
          <w:szCs w:val="32"/>
        </w:rPr>
        <w:t>个；</w:t>
      </w:r>
    </w:p>
    <w:p>
      <w:pPr>
        <w:spacing w:line="400" w:lineRule="exact"/>
        <w:ind w:firstLine="630" w:firstLineChars="300"/>
        <w:rPr>
          <w:rFonts w:ascii="Times New Roman" w:hAnsi="Times New Roman" w:cs="Times New Roman"/>
          <w:szCs w:val="32"/>
        </w:rPr>
      </w:pPr>
      <w:r>
        <w:rPr>
          <w:rFonts w:hint="eastAsia" w:ascii="Times New Roman" w:hAnsi="Times New Roman" w:cs="Times New Roman"/>
          <w:szCs w:val="32"/>
        </w:rPr>
        <w:t>⑤</w:t>
      </w:r>
      <w:r>
        <w:rPr>
          <w:rFonts w:ascii="Times New Roman" w:hAnsi="Times New Roman" w:cs="Times New Roman"/>
          <w:szCs w:val="32"/>
        </w:rPr>
        <w:t>收到的建议或意见  </w:t>
      </w:r>
      <w:r>
        <w:rPr>
          <w:rFonts w:hint="eastAsia" w:ascii="Times New Roman" w:hAnsi="Times New Roman" w:cs="Times New Roman"/>
          <w:szCs w:val="32"/>
        </w:rPr>
        <w:t>131</w:t>
      </w:r>
      <w:r>
        <w:rPr>
          <w:rFonts w:ascii="Times New Roman" w:hAnsi="Times New Roman" w:cs="Times New Roman"/>
          <w:szCs w:val="32"/>
        </w:rPr>
        <w:t>  条，其中采纳 </w:t>
      </w:r>
      <w:r>
        <w:rPr>
          <w:rFonts w:hint="eastAsia" w:ascii="Times New Roman" w:hAnsi="Times New Roman" w:cs="Times New Roman"/>
          <w:szCs w:val="32"/>
        </w:rPr>
        <w:t>109</w:t>
      </w:r>
      <w:r>
        <w:rPr>
          <w:rFonts w:ascii="Times New Roman" w:hAnsi="Times New Roman" w:cs="Times New Roman"/>
          <w:szCs w:val="32"/>
        </w:rPr>
        <w:t xml:space="preserve"> 条，不采纳  </w:t>
      </w:r>
      <w:r>
        <w:rPr>
          <w:rFonts w:hint="eastAsia" w:ascii="Times New Roman" w:hAnsi="Times New Roman" w:cs="Times New Roman"/>
          <w:szCs w:val="32"/>
        </w:rPr>
        <w:t>22</w:t>
      </w:r>
      <w:r>
        <w:rPr>
          <w:rFonts w:ascii="Times New Roman" w:hAnsi="Times New Roman" w:cs="Times New Roman"/>
          <w:szCs w:val="32"/>
        </w:rPr>
        <w:t xml:space="preserve"> 条，部分采纳 </w:t>
      </w:r>
      <w:r>
        <w:rPr>
          <w:rFonts w:hint="eastAsia" w:ascii="Times New Roman" w:hAnsi="Times New Roman" w:cs="Times New Roman"/>
          <w:szCs w:val="32"/>
        </w:rPr>
        <w:t>0</w:t>
      </w:r>
      <w:r>
        <w:rPr>
          <w:rFonts w:ascii="Times New Roman" w:hAnsi="Times New Roman" w:cs="Times New Roman"/>
          <w:szCs w:val="32"/>
        </w:rPr>
        <w:t>  条。</w:t>
      </w:r>
    </w:p>
    <w:p>
      <w:pPr>
        <w:spacing w:line="360" w:lineRule="auto"/>
        <w:ind w:firstLine="420" w:firstLineChars="200"/>
        <w:rPr>
          <w:rFonts w:ascii="Times New Roman" w:hAnsi="Times New Roman" w:cs="Times New Roman"/>
          <w:szCs w:val="32"/>
        </w:rPr>
      </w:pPr>
      <w:r>
        <w:rPr>
          <w:rFonts w:ascii="Times New Roman" w:hAnsi="Times New Roman" w:cs="Times New Roman"/>
          <w:szCs w:val="32"/>
        </w:rPr>
        <w:t>2019年9</w:t>
      </w:r>
      <w:r>
        <w:rPr>
          <w:rFonts w:hint="eastAsia" w:ascii="Times New Roman" w:hAnsi="Times New Roman" w:cs="Times New Roman"/>
          <w:szCs w:val="32"/>
        </w:rPr>
        <w:t>月</w:t>
      </w:r>
      <w:r>
        <w:rPr>
          <w:rFonts w:ascii="Times New Roman" w:hAnsi="Times New Roman" w:cs="Times New Roman"/>
          <w:szCs w:val="32"/>
        </w:rPr>
        <w:t>-</w:t>
      </w:r>
      <w:r>
        <w:rPr>
          <w:rFonts w:hint="eastAsia" w:ascii="Times New Roman" w:hAnsi="Times New Roman" w:cs="Times New Roman"/>
          <w:szCs w:val="32"/>
        </w:rPr>
        <w:t>202</w:t>
      </w:r>
      <w:r>
        <w:rPr>
          <w:rFonts w:ascii="Times New Roman" w:hAnsi="Times New Roman" w:cs="Times New Roman"/>
          <w:szCs w:val="32"/>
        </w:rPr>
        <w:t>0</w:t>
      </w:r>
      <w:r>
        <w:rPr>
          <w:rFonts w:hint="eastAsia" w:ascii="Times New Roman" w:hAnsi="Times New Roman" w:cs="Times New Roman"/>
          <w:szCs w:val="32"/>
        </w:rPr>
        <w:t>年</w:t>
      </w:r>
      <w:r>
        <w:rPr>
          <w:rFonts w:ascii="Times New Roman" w:hAnsi="Times New Roman" w:cs="Times New Roman"/>
          <w:szCs w:val="32"/>
        </w:rPr>
        <w:t>10月，在3家有资质实验室进行标准方法复合验证。</w:t>
      </w:r>
    </w:p>
    <w:p>
      <w:pPr>
        <w:spacing w:line="360" w:lineRule="auto"/>
        <w:ind w:firstLine="420" w:firstLineChars="200"/>
        <w:rPr>
          <w:rFonts w:ascii="Times New Roman" w:hAnsi="Times New Roman" w:cs="Times New Roman"/>
          <w:szCs w:val="32"/>
        </w:rPr>
      </w:pPr>
      <w:r>
        <w:rPr>
          <w:rFonts w:ascii="Times New Roman" w:hAnsi="Times New Roman" w:cs="Times New Roman"/>
          <w:szCs w:val="32"/>
        </w:rPr>
        <w:t>2020年10</w:t>
      </w:r>
      <w:r>
        <w:rPr>
          <w:rFonts w:hint="eastAsia" w:ascii="Times New Roman" w:hAnsi="Times New Roman" w:cs="Times New Roman"/>
          <w:szCs w:val="32"/>
        </w:rPr>
        <w:t>月</w:t>
      </w:r>
      <w:r>
        <w:rPr>
          <w:rFonts w:ascii="Times New Roman" w:hAnsi="Times New Roman" w:cs="Times New Roman"/>
          <w:szCs w:val="32"/>
        </w:rPr>
        <w:t>-</w:t>
      </w:r>
      <w:r>
        <w:rPr>
          <w:rFonts w:hint="eastAsia" w:ascii="Times New Roman" w:hAnsi="Times New Roman" w:cs="Times New Roman"/>
          <w:szCs w:val="32"/>
        </w:rPr>
        <w:t>2021年</w:t>
      </w:r>
      <w:r>
        <w:rPr>
          <w:rFonts w:ascii="Times New Roman" w:hAnsi="Times New Roman" w:cs="Times New Roman"/>
          <w:szCs w:val="32"/>
        </w:rPr>
        <w:t>12月，根据专家和其它实验室意见对标准进一步验证和修改，形成标准</w:t>
      </w:r>
      <w:r>
        <w:rPr>
          <w:rFonts w:hint="eastAsia" w:ascii="Times New Roman" w:hAnsi="Times New Roman" w:cs="Times New Roman"/>
          <w:szCs w:val="32"/>
        </w:rPr>
        <w:t>预</w:t>
      </w:r>
      <w:r>
        <w:rPr>
          <w:rFonts w:ascii="Times New Roman" w:hAnsi="Times New Roman" w:cs="Times New Roman"/>
          <w:szCs w:val="32"/>
        </w:rPr>
        <w:t>审稿《养殖场污水中四环素类、磺胺类和喹诺酮类药物的测定 液相色谱-串联质谱法》。</w:t>
      </w:r>
    </w:p>
    <w:p>
      <w:pPr>
        <w:spacing w:line="360" w:lineRule="auto"/>
        <w:ind w:firstLine="420" w:firstLineChars="200"/>
        <w:rPr>
          <w:rFonts w:ascii="Times New Roman" w:hAnsi="Times New Roman" w:cs="Times New Roman"/>
          <w:szCs w:val="32"/>
        </w:rPr>
      </w:pPr>
      <w:r>
        <w:rPr>
          <w:rFonts w:hint="eastAsia" w:ascii="Times New Roman" w:hAnsi="Times New Roman" w:cs="Times New Roman"/>
          <w:szCs w:val="32"/>
        </w:rPr>
        <w:t>3.预审阶段：</w:t>
      </w:r>
    </w:p>
    <w:p>
      <w:pPr>
        <w:spacing w:line="360" w:lineRule="auto"/>
        <w:ind w:firstLine="420" w:firstLineChars="200"/>
        <w:jc w:val="left"/>
        <w:rPr>
          <w:rFonts w:ascii="Times New Roman" w:hAnsi="Times New Roman" w:cs="Times New Roman"/>
          <w:szCs w:val="32"/>
        </w:rPr>
      </w:pPr>
      <w:r>
        <w:rPr>
          <w:rFonts w:ascii="Times New Roman" w:hAnsi="Times New Roman" w:cs="Times New Roman"/>
          <w:szCs w:val="32"/>
        </w:rPr>
        <w:t>2022年1月6日-7日，</w:t>
      </w:r>
      <w:r>
        <w:rPr>
          <w:rFonts w:hint="eastAsia" w:ascii="Times New Roman" w:hAnsi="Times New Roman" w:cs="Times New Roman"/>
          <w:szCs w:val="32"/>
        </w:rPr>
        <w:t>委托畜牧环境及废弃物利用标准化工作组</w:t>
      </w:r>
      <w:r>
        <w:rPr>
          <w:rFonts w:ascii="Times New Roman" w:hAnsi="Times New Roman" w:cs="Times New Roman"/>
          <w:szCs w:val="32"/>
        </w:rPr>
        <w:t>组织专家开展了预审会，预审专家对《畜禽养殖污水中四环素类、磺胺类和喹诺酮类药物残留量的测定  液相色谱-串联质谱法》（预审稿）标准文本和编制说明进行认真审查并提出修改意见，同意审查通过。项目组按照修改意见对标准文本和编制说明进行修改，形成公开征求意见稿，提交至全国畜牧业标准化技术委员会秘书处。</w:t>
      </w:r>
    </w:p>
    <w:p>
      <w:pPr>
        <w:spacing w:line="360" w:lineRule="auto"/>
        <w:ind w:firstLine="420" w:firstLineChars="200"/>
        <w:jc w:val="left"/>
        <w:rPr>
          <w:rFonts w:ascii="Times New Roman" w:hAnsi="Times New Roman" w:cs="Times New Roman"/>
          <w:szCs w:val="32"/>
        </w:rPr>
      </w:pPr>
      <w:r>
        <w:rPr>
          <w:rFonts w:ascii="Times New Roman" w:hAnsi="Times New Roman" w:cs="Times New Roman"/>
          <w:szCs w:val="32"/>
        </w:rPr>
        <w:t>预审会议审查意见汇总处理表见附件。</w:t>
      </w:r>
    </w:p>
    <w:p>
      <w:pPr>
        <w:spacing w:line="580" w:lineRule="exact"/>
        <w:rPr>
          <w:rFonts w:ascii="Times New Roman" w:hAnsi="Times New Roman" w:eastAsia="黑体" w:cs="Times New Roman"/>
          <w:sz w:val="30"/>
        </w:rPr>
      </w:pPr>
      <w:r>
        <w:rPr>
          <w:rFonts w:hint="eastAsia" w:ascii="Times New Roman" w:hAnsi="Times New Roman" w:eastAsia="黑体" w:cs="Times New Roman"/>
          <w:sz w:val="30"/>
        </w:rPr>
        <w:t>三</w:t>
      </w:r>
      <w:r>
        <w:rPr>
          <w:rFonts w:ascii="Times New Roman" w:hAnsi="Times New Roman" w:eastAsia="黑体" w:cs="Times New Roman"/>
          <w:sz w:val="30"/>
        </w:rPr>
        <w:t>、标准编制原则和主要技术内容确定的依据</w:t>
      </w:r>
    </w:p>
    <w:p>
      <w:pPr>
        <w:spacing w:line="480" w:lineRule="auto"/>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3</w:t>
      </w:r>
      <w:r>
        <w:rPr>
          <w:rFonts w:ascii="Times New Roman" w:hAnsi="Times New Roman" w:eastAsia="宋体" w:cs="Times New Roman"/>
          <w:b/>
          <w:bCs/>
          <w:sz w:val="28"/>
          <w:szCs w:val="28"/>
        </w:rPr>
        <w:t>.1 标准编制原则</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本标准的编写制定过程中以提高测试方法的选择性、准确度、精密度、检测限和分析效率为总原则，反映科学技术的先进成果和先进经验。使用性能的普遍性包括方法精密度、准确度、检测限等方面能满足要求，确保标准既能保持技术上的先进性，又具有经济上合理性。同时遵循了标准制定过程中的先进性、经济性和适用性原则。</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在标准的制定过程中严格遵循国家有关方针、政策、法规和规章，标准的编写规则及表述按照GB/T 1.1-20</w:t>
      </w:r>
      <w:r>
        <w:rPr>
          <w:rFonts w:hint="eastAsia" w:ascii="Times New Roman" w:hAnsi="Times New Roman" w:eastAsia="宋体" w:cs="Times New Roman"/>
        </w:rPr>
        <w:t>20</w:t>
      </w:r>
      <w:r>
        <w:rPr>
          <w:rFonts w:ascii="Times New Roman" w:hAnsi="Times New Roman" w:eastAsia="宋体" w:cs="Times New Roman"/>
        </w:rPr>
        <w:t>《</w:t>
      </w:r>
      <w:r>
        <w:rPr>
          <w:rFonts w:hint="eastAsia" w:ascii="宋体" w:hAnsi="宋体"/>
        </w:rPr>
        <w:t>标准化工作导则 第1部分：标准化文件的结构和起草规则</w:t>
      </w:r>
      <w:r>
        <w:rPr>
          <w:rFonts w:ascii="Times New Roman" w:hAnsi="Times New Roman" w:eastAsia="宋体" w:cs="Times New Roman"/>
        </w:rPr>
        <w:t>》、</w:t>
      </w:r>
      <w:r>
        <w:rPr>
          <w:rFonts w:ascii="Times New Roman" w:hAnsi="Times New Roman" w:cs="Times New Roman"/>
          <w:szCs w:val="21"/>
        </w:rPr>
        <w:t>GB/T 20001.4-2015</w:t>
      </w:r>
      <w:r>
        <w:rPr>
          <w:rFonts w:ascii="Times New Roman" w:hAnsi="Times New Roman" w:eastAsia="宋体" w:cs="Times New Roman"/>
        </w:rPr>
        <w:t>《标准编写规则第4部分：试验方法标准》的要求编写。在标准制定过程中力求做到：技术内容的叙述正确无误；文字表达准确、简明、易懂；标准的构成严谨合理；内容编排、层次划分等符合逻辑与规定。</w:t>
      </w:r>
    </w:p>
    <w:p>
      <w:pPr>
        <w:spacing w:line="480" w:lineRule="auto"/>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3.</w:t>
      </w:r>
      <w:r>
        <w:rPr>
          <w:rFonts w:ascii="Times New Roman" w:hAnsi="Times New Roman" w:eastAsia="宋体" w:cs="Times New Roman"/>
          <w:b/>
          <w:bCs/>
          <w:sz w:val="28"/>
          <w:szCs w:val="28"/>
        </w:rPr>
        <w:t>2 主要技术内容确定的依据</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本标准的适用范围：</w:t>
      </w:r>
      <w:r>
        <w:rPr>
          <w:rFonts w:hint="eastAsia" w:ascii="Times New Roman" w:hAnsi="Times New Roman" w:eastAsia="宋体" w:cs="Times New Roman"/>
        </w:rPr>
        <w:t>畜禽</w:t>
      </w:r>
      <w:r>
        <w:rPr>
          <w:rFonts w:ascii="Times New Roman" w:hAnsi="Times New Roman" w:eastAsia="宋体" w:cs="Times New Roman"/>
        </w:rPr>
        <w:t>养殖场污水。本标准使用液相色谱-串联质谱进行检测方法开发。使用仪器型号为waters公司的</w:t>
      </w:r>
      <w:r>
        <w:rPr>
          <w:rFonts w:ascii="Times New Roman" w:hAnsi="Times New Roman" w:cs="Times New Roman"/>
          <w:sz w:val="24"/>
        </w:rPr>
        <w:t>Waters Acquity UPLC</w:t>
      </w:r>
      <w:r>
        <w:rPr>
          <w:rFonts w:ascii="Times New Roman" w:hAnsi="Times New Roman" w:eastAsia="宋体" w:cs="Times New Roman"/>
        </w:rPr>
        <w:t>超高液相色谱和AB Sciex公司的 Triple Quad™ 4500质谱联用仪（HPLC-MS/MS）。</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本标准方法学考察包括检测限（LOD）和定量限（LOQ）。其中LOD拟设定为信噪比为3时的样品添加浓度，LOQ拟设定为信噪比为10时且回收率结果和相对标准偏差符合要求的样品添加浓度。</w:t>
      </w:r>
    </w:p>
    <w:p>
      <w:pPr>
        <w:spacing w:line="360" w:lineRule="auto"/>
        <w:ind w:firstLine="420" w:firstLineChars="200"/>
        <w:rPr>
          <w:rFonts w:ascii="Times New Roman" w:hAnsi="Times New Roman" w:eastAsia="黑体" w:cs="Times New Roman"/>
          <w:sz w:val="30"/>
        </w:rPr>
      </w:pPr>
      <w:r>
        <w:rPr>
          <w:rFonts w:ascii="Times New Roman" w:hAnsi="Times New Roman" w:eastAsia="宋体" w:cs="Times New Roman"/>
        </w:rPr>
        <w:t>本标准设低、中、高3个添加浓度进行回收率测定，</w:t>
      </w:r>
      <w:r>
        <w:rPr>
          <w:rFonts w:hint="eastAsia" w:ascii="Times New Roman" w:hAnsi="Times New Roman" w:eastAsia="宋体" w:cs="Times New Roman"/>
        </w:rPr>
        <w:t>按照LOQ、2LOQ、10 LOQ进行添加，</w:t>
      </w:r>
      <w:r>
        <w:rPr>
          <w:rFonts w:ascii="Times New Roman" w:hAnsi="Times New Roman" w:eastAsia="宋体" w:cs="Times New Roman"/>
        </w:rPr>
        <w:t>因此三个添加浓度定为5</w:t>
      </w:r>
      <w:r>
        <w:rPr>
          <w:rFonts w:hint="eastAsia" w:ascii="Times New Roman" w:hAnsi="Times New Roman" w:eastAsia="宋体" w:cs="Times New Roman"/>
        </w:rPr>
        <w:t xml:space="preserve"> n</w:t>
      </w:r>
      <w:r>
        <w:rPr>
          <w:rFonts w:ascii="Times New Roman" w:hAnsi="Times New Roman" w:eastAsia="宋体" w:cs="Times New Roman"/>
        </w:rPr>
        <w:t>g/mL、10</w:t>
      </w:r>
      <w:r>
        <w:rPr>
          <w:rFonts w:hint="eastAsia" w:ascii="Times New Roman" w:hAnsi="Times New Roman" w:eastAsia="宋体" w:cs="Times New Roman"/>
        </w:rPr>
        <w:t xml:space="preserve"> n</w:t>
      </w:r>
      <w:r>
        <w:rPr>
          <w:rFonts w:ascii="Times New Roman" w:hAnsi="Times New Roman" w:eastAsia="宋体" w:cs="Times New Roman"/>
        </w:rPr>
        <w:t xml:space="preserve">g/mL及50 </w:t>
      </w:r>
      <w:r>
        <w:rPr>
          <w:rFonts w:hint="eastAsia" w:ascii="Times New Roman" w:hAnsi="Times New Roman" w:eastAsia="宋体" w:cs="Times New Roman"/>
        </w:rPr>
        <w:t>n</w:t>
      </w:r>
      <w:r>
        <w:rPr>
          <w:rFonts w:ascii="Times New Roman" w:hAnsi="Times New Roman" w:eastAsia="宋体" w:cs="Times New Roman"/>
        </w:rPr>
        <w:t>g/mL。定量限以上添加浓度的回收率范围应该在60</w:t>
      </w:r>
      <w:r>
        <w:rPr>
          <w:rFonts w:hint="eastAsia" w:ascii="Times New Roman" w:hAnsi="Times New Roman" w:eastAsia="宋体" w:cs="Times New Roman"/>
        </w:rPr>
        <w:t>%</w:t>
      </w:r>
      <w:r>
        <w:rPr>
          <w:rFonts w:ascii="Times New Roman" w:hAnsi="Times New Roman" w:eastAsia="宋体" w:cs="Times New Roman"/>
        </w:rPr>
        <w:t xml:space="preserve"> ~ 120%之间，根据NY/T 1896-2010兽药残留实验室质量控制规范规定的筛选分析方法精密度的性能要求，结果的批内变异系数不超过25%，批间变异系数不超过30%。标准曲线则使用标准品稀释的系列工作溶液经测定后标准曲线，设置至少5个点进行测定。</w:t>
      </w:r>
    </w:p>
    <w:p>
      <w:pPr>
        <w:spacing w:line="480" w:lineRule="auto"/>
        <w:rPr>
          <w:rFonts w:ascii="Times New Roman" w:hAnsi="Times New Roman" w:eastAsia="宋体" w:cs="Times New Roman"/>
          <w:b/>
          <w:bCs/>
        </w:rPr>
      </w:pPr>
      <w:r>
        <w:rPr>
          <w:rFonts w:hint="eastAsia" w:ascii="Times New Roman" w:hAnsi="Times New Roman" w:eastAsia="宋体" w:cs="Times New Roman"/>
          <w:b/>
          <w:bCs/>
          <w:sz w:val="28"/>
          <w:szCs w:val="28"/>
        </w:rPr>
        <w:t>3</w:t>
      </w:r>
      <w:r>
        <w:rPr>
          <w:rFonts w:ascii="Times New Roman" w:hAnsi="Times New Roman" w:eastAsia="宋体" w:cs="Times New Roman"/>
          <w:b/>
          <w:bCs/>
          <w:sz w:val="28"/>
          <w:szCs w:val="28"/>
        </w:rPr>
        <w:t>.2.1 方法的研制</w:t>
      </w:r>
    </w:p>
    <w:p>
      <w:pPr>
        <w:spacing w:line="480" w:lineRule="auto"/>
        <w:rPr>
          <w:rFonts w:ascii="Times New Roman" w:hAnsi="Times New Roman" w:eastAsia="宋体" w:cs="Times New Roman"/>
          <w:color w:val="000000" w:themeColor="text1"/>
          <w:sz w:val="24"/>
          <w14:textFill>
            <w14:solidFill>
              <w14:schemeClr w14:val="tx1"/>
            </w14:solidFill>
          </w14:textFill>
        </w:rPr>
      </w:pPr>
      <w:r>
        <w:rPr>
          <w:rFonts w:ascii="Times New Roman" w:hAnsi="Times New Roman" w:eastAsia="宋体" w:cs="Times New Roman"/>
          <w:b/>
          <w:bCs/>
          <w:color w:val="000000" w:themeColor="text1"/>
          <w:sz w:val="24"/>
          <w14:textFill>
            <w14:solidFill>
              <w14:schemeClr w14:val="tx1"/>
            </w14:solidFill>
          </w14:textFill>
        </w:rPr>
        <w:t>3.2.1</w:t>
      </w:r>
      <w:r>
        <w:rPr>
          <w:rFonts w:hint="eastAsia" w:ascii="Times New Roman" w:hAnsi="Times New Roman" w:eastAsia="宋体" w:cs="Times New Roman"/>
          <w:b/>
          <w:bCs/>
          <w:color w:val="000000" w:themeColor="text1"/>
          <w:sz w:val="24"/>
          <w14:textFill>
            <w14:solidFill>
              <w14:schemeClr w14:val="tx1"/>
            </w14:solidFill>
          </w14:textFill>
        </w:rPr>
        <w:t>.1</w:t>
      </w:r>
      <w:r>
        <w:rPr>
          <w:rFonts w:ascii="Times New Roman" w:hAnsi="Times New Roman" w:eastAsia="宋体" w:cs="Times New Roman"/>
          <w:b/>
          <w:bCs/>
          <w:color w:val="000000" w:themeColor="text1"/>
          <w:sz w:val="24"/>
          <w14:textFill>
            <w14:solidFill>
              <w14:schemeClr w14:val="tx1"/>
            </w14:solidFill>
          </w14:textFill>
        </w:rPr>
        <w:t xml:space="preserve"> 药品确定</w:t>
      </w:r>
    </w:p>
    <w:p>
      <w:pPr>
        <w:spacing w:line="360" w:lineRule="auto"/>
        <w:ind w:firstLine="420" w:firstLineChars="200"/>
        <w:rPr>
          <w:rFonts w:ascii="Times New Roman" w:hAnsi="Times New Roman" w:eastAsia="宋体" w:cs="Times New Roman"/>
          <w:b/>
          <w:bCs/>
          <w:color w:val="000000" w:themeColor="text1"/>
          <w:sz w:val="24"/>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因标准的研制目标为完成</w:t>
      </w:r>
      <w:r>
        <w:rPr>
          <w:rFonts w:ascii="Times New Roman" w:hAnsi="Times New Roman" w:cs="Times New Roman"/>
          <w:color w:val="000000" w:themeColor="text1"/>
          <w:szCs w:val="32"/>
          <w14:textFill>
            <w14:solidFill>
              <w14:schemeClr w14:val="tx1"/>
            </w14:solidFill>
          </w14:textFill>
        </w:rPr>
        <w:t>四环素类、磺胺类和喹诺酮类药物的测定</w:t>
      </w:r>
      <w:r>
        <w:rPr>
          <w:rFonts w:ascii="Times New Roman" w:hAnsi="Times New Roman" w:eastAsia="宋体" w:cs="Times New Roman"/>
          <w:color w:val="000000" w:themeColor="text1"/>
          <w14:textFill>
            <w14:solidFill>
              <w14:schemeClr w14:val="tx1"/>
            </w14:solidFill>
          </w14:textFill>
        </w:rPr>
        <w:t>的同步检测，</w:t>
      </w:r>
      <w:r>
        <w:rPr>
          <w:rFonts w:hint="eastAsia" w:ascii="Times New Roman" w:hAnsi="Times New Roman" w:eastAsia="宋体" w:cs="Times New Roman"/>
          <w:color w:val="000000" w:themeColor="text1"/>
          <w14:textFill>
            <w14:solidFill>
              <w14:schemeClr w14:val="tx1"/>
            </w14:solidFill>
          </w14:textFill>
        </w:rPr>
        <w:t>故</w:t>
      </w:r>
      <w:r>
        <w:rPr>
          <w:rFonts w:ascii="Times New Roman" w:hAnsi="Times New Roman" w:eastAsia="宋体" w:cs="Times New Roman"/>
          <w:color w:val="000000" w:themeColor="text1"/>
          <w14:textFill>
            <w14:solidFill>
              <w14:schemeClr w14:val="tx1"/>
            </w14:solidFill>
          </w14:textFill>
        </w:rPr>
        <w:t>选定</w:t>
      </w:r>
      <w:r>
        <w:rPr>
          <w:rFonts w:hint="eastAsia" w:ascii="Times New Roman" w:hAnsi="Times New Roman" w:eastAsia="宋体" w:cs="Times New Roman"/>
          <w:color w:val="000000" w:themeColor="text1"/>
          <w14:textFill>
            <w14:solidFill>
              <w14:schemeClr w14:val="tx1"/>
            </w14:solidFill>
          </w14:textFill>
        </w:rPr>
        <w:t>普遍、常用兽药33种来自四</w:t>
      </w:r>
      <w:r>
        <w:rPr>
          <w:rFonts w:ascii="Times New Roman" w:hAnsi="Times New Roman" w:cs="Times New Roman"/>
          <w:color w:val="000000" w:themeColor="text1"/>
          <w:szCs w:val="32"/>
          <w14:textFill>
            <w14:solidFill>
              <w14:schemeClr w14:val="tx1"/>
            </w14:solidFill>
          </w14:textFill>
        </w:rPr>
        <w:t>环素类、磺胺类和喹诺酮类药物</w:t>
      </w:r>
      <w:r>
        <w:rPr>
          <w:rFonts w:ascii="Times New Roman" w:hAnsi="Times New Roman" w:eastAsia="宋体" w:cs="Times New Roman"/>
          <w:color w:val="000000" w:themeColor="text1"/>
          <w14:textFill>
            <w14:solidFill>
              <w14:schemeClr w14:val="tx1"/>
            </w14:solidFill>
          </w14:textFill>
        </w:rPr>
        <w:t>，进行仪器参数的优化。</w:t>
      </w:r>
    </w:p>
    <w:p>
      <w:pPr>
        <w:spacing w:line="480" w:lineRule="auto"/>
        <w:rPr>
          <w:rFonts w:ascii="Times New Roman" w:hAnsi="Times New Roman" w:eastAsia="宋体" w:cs="Times New Roman"/>
          <w:b/>
          <w:bCs/>
          <w:sz w:val="24"/>
        </w:rPr>
      </w:pPr>
      <w:r>
        <w:rPr>
          <w:rFonts w:ascii="Times New Roman" w:hAnsi="Times New Roman" w:eastAsia="宋体" w:cs="Times New Roman"/>
          <w:b/>
          <w:bCs/>
          <w:sz w:val="24"/>
        </w:rPr>
        <w:t>3.</w:t>
      </w:r>
      <w:r>
        <w:rPr>
          <w:rFonts w:hint="eastAsia" w:ascii="Times New Roman" w:hAnsi="Times New Roman" w:eastAsia="宋体" w:cs="Times New Roman"/>
          <w:b/>
          <w:bCs/>
          <w:sz w:val="24"/>
        </w:rPr>
        <w:t>2</w:t>
      </w:r>
      <w:r>
        <w:rPr>
          <w:rFonts w:ascii="Times New Roman" w:hAnsi="Times New Roman" w:eastAsia="宋体" w:cs="Times New Roman"/>
          <w:b/>
          <w:bCs/>
          <w:sz w:val="24"/>
        </w:rPr>
        <w:t>.1.2 仪器检测条件的确立</w:t>
      </w:r>
    </w:p>
    <w:p>
      <w:pPr>
        <w:spacing w:line="480" w:lineRule="auto"/>
        <w:rPr>
          <w:rFonts w:ascii="Times New Roman" w:hAnsi="Times New Roman" w:eastAsia="宋体" w:cs="Times New Roman"/>
          <w:b/>
          <w:bCs/>
        </w:rPr>
      </w:pPr>
      <w:r>
        <w:rPr>
          <w:rFonts w:ascii="Times New Roman" w:hAnsi="Times New Roman" w:eastAsia="宋体" w:cs="Times New Roman"/>
          <w:b/>
          <w:bCs/>
        </w:rPr>
        <w:t>3.</w:t>
      </w:r>
      <w:r>
        <w:rPr>
          <w:rFonts w:hint="eastAsia" w:ascii="Times New Roman" w:hAnsi="Times New Roman" w:eastAsia="宋体" w:cs="Times New Roman"/>
          <w:b/>
          <w:bCs/>
        </w:rPr>
        <w:t>2</w:t>
      </w:r>
      <w:r>
        <w:rPr>
          <w:rFonts w:ascii="Times New Roman" w:hAnsi="Times New Roman" w:eastAsia="宋体" w:cs="Times New Roman"/>
          <w:b/>
          <w:bCs/>
        </w:rPr>
        <w:t>.1.2.1 色谱柱的确定</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本实验选用Waters公司的超高效液相色谱和AB Sciex公司的 Triple Quad™ 4500质谱联用仪（HPLC-MS/MS）进行方法开发，在方法研制过程中，</w:t>
      </w:r>
      <w:r>
        <w:rPr>
          <w:rFonts w:hint="eastAsia" w:ascii="Times New Roman" w:hAnsi="Times New Roman" w:eastAsia="宋体" w:cs="Times New Roman"/>
        </w:rPr>
        <w:t>选用了EC-C18（</w:t>
      </w:r>
      <w:r>
        <w:rPr>
          <w:rFonts w:ascii="Times New Roman" w:hAnsi="Times New Roman" w:eastAsia="宋体" w:cs="Times New Roman"/>
        </w:rPr>
        <w:t>3.0×1</w:t>
      </w:r>
      <w:r>
        <w:rPr>
          <w:rFonts w:hint="eastAsia" w:ascii="Times New Roman" w:hAnsi="Times New Roman" w:eastAsia="宋体" w:cs="Times New Roman"/>
        </w:rPr>
        <w:t>0</w:t>
      </w:r>
      <w:r>
        <w:rPr>
          <w:rFonts w:ascii="Times New Roman" w:hAnsi="Times New Roman" w:eastAsia="宋体" w:cs="Times New Roman"/>
        </w:rPr>
        <w:t>0 mm，</w:t>
      </w:r>
      <w:r>
        <w:rPr>
          <w:rFonts w:hint="eastAsia" w:ascii="Times New Roman" w:hAnsi="Times New Roman" w:eastAsia="宋体" w:cs="Times New Roman"/>
        </w:rPr>
        <w:t>2.7</w:t>
      </w:r>
      <w:r>
        <w:rPr>
          <w:rFonts w:ascii="Times New Roman" w:hAnsi="Times New Roman" w:eastAsia="宋体" w:cs="Times New Roman"/>
        </w:rPr>
        <w:t xml:space="preserve"> μm</w:t>
      </w:r>
      <w:r>
        <w:rPr>
          <w:rFonts w:hint="eastAsia" w:ascii="Times New Roman" w:hAnsi="Times New Roman" w:eastAsia="宋体" w:cs="Times New Roman"/>
        </w:rPr>
        <w:t>）色谱柱、</w:t>
      </w:r>
      <w:r>
        <w:rPr>
          <w:rFonts w:ascii="Times New Roman" w:hAnsi="Times New Roman" w:eastAsia="宋体" w:cs="Times New Roman"/>
        </w:rPr>
        <w:t>Zobax Eclipse Plus-C18（3.0×150 mm，1.8 μm）</w:t>
      </w:r>
      <w:r>
        <w:rPr>
          <w:rFonts w:hint="eastAsia" w:ascii="Times New Roman" w:hAnsi="Times New Roman" w:eastAsia="宋体" w:cs="Times New Roman"/>
        </w:rPr>
        <w:t>色谱柱、kinetex F5</w:t>
      </w:r>
      <w:r>
        <w:rPr>
          <w:rFonts w:ascii="Times New Roman" w:hAnsi="Times New Roman" w:eastAsia="宋体" w:cs="Times New Roman"/>
        </w:rPr>
        <w:t>（3.0×1</w:t>
      </w:r>
      <w:r>
        <w:rPr>
          <w:rFonts w:hint="eastAsia" w:ascii="Times New Roman" w:hAnsi="Times New Roman" w:eastAsia="宋体" w:cs="Times New Roman"/>
        </w:rPr>
        <w:t>0</w:t>
      </w:r>
      <w:r>
        <w:rPr>
          <w:rFonts w:ascii="Times New Roman" w:hAnsi="Times New Roman" w:eastAsia="宋体" w:cs="Times New Roman"/>
        </w:rPr>
        <w:t>0 mm，</w:t>
      </w:r>
      <w:r>
        <w:rPr>
          <w:rFonts w:hint="eastAsia" w:ascii="Times New Roman" w:hAnsi="Times New Roman" w:eastAsia="宋体" w:cs="Times New Roman"/>
        </w:rPr>
        <w:t>2.6</w:t>
      </w:r>
      <w:r>
        <w:rPr>
          <w:rFonts w:ascii="Times New Roman" w:hAnsi="Times New Roman" w:eastAsia="宋体" w:cs="Times New Roman"/>
        </w:rPr>
        <w:t xml:space="preserve"> μm）</w:t>
      </w:r>
      <w:r>
        <w:rPr>
          <w:rFonts w:hint="eastAsia" w:ascii="Times New Roman" w:hAnsi="Times New Roman" w:eastAsia="宋体" w:cs="Times New Roman"/>
        </w:rPr>
        <w:t>色谱柱进行试验，发现</w:t>
      </w:r>
      <w:r>
        <w:rPr>
          <w:rFonts w:ascii="Times New Roman" w:hAnsi="Times New Roman" w:eastAsia="宋体" w:cs="Times New Roman"/>
        </w:rPr>
        <w:t>Zobax Eclipse Plus-C18（3.0×150 mm，1.8 μm）</w:t>
      </w:r>
      <w:r>
        <w:rPr>
          <w:rFonts w:hint="eastAsia" w:ascii="Times New Roman" w:hAnsi="Times New Roman" w:eastAsia="宋体" w:cs="Times New Roman"/>
        </w:rPr>
        <w:t>色谱柱分离度更好，可以把同分异构的一些药物很好的分离开，故</w:t>
      </w:r>
      <w:r>
        <w:rPr>
          <w:rFonts w:ascii="Times New Roman" w:hAnsi="Times New Roman" w:eastAsia="宋体" w:cs="Times New Roman"/>
        </w:rPr>
        <w:t>选用</w:t>
      </w:r>
      <w:bookmarkStart w:id="1" w:name="_Hlk535331453"/>
      <w:r>
        <w:rPr>
          <w:rFonts w:ascii="Times New Roman" w:hAnsi="Times New Roman" w:eastAsia="宋体" w:cs="Times New Roman"/>
        </w:rPr>
        <w:t>Zobax Eclipse Plus-C18（3.0×150 mm，1.8 μm）</w:t>
      </w:r>
      <w:bookmarkEnd w:id="1"/>
      <w:r>
        <w:rPr>
          <w:rFonts w:ascii="Times New Roman" w:hAnsi="Times New Roman" w:eastAsia="宋体" w:cs="Times New Roman"/>
        </w:rPr>
        <w:t>色谱柱进行样品的分离检测。</w:t>
      </w:r>
    </w:p>
    <w:p>
      <w:pPr>
        <w:spacing w:line="480" w:lineRule="auto"/>
        <w:rPr>
          <w:rFonts w:ascii="Times New Roman" w:hAnsi="Times New Roman" w:eastAsia="宋体" w:cs="Times New Roman"/>
          <w:b/>
          <w:bCs/>
        </w:rPr>
      </w:pPr>
      <w:r>
        <w:rPr>
          <w:rFonts w:ascii="Times New Roman" w:hAnsi="Times New Roman" w:eastAsia="宋体" w:cs="Times New Roman"/>
          <w:b/>
          <w:bCs/>
        </w:rPr>
        <w:t>3.</w:t>
      </w:r>
      <w:r>
        <w:rPr>
          <w:rFonts w:hint="eastAsia" w:ascii="Times New Roman" w:hAnsi="Times New Roman" w:eastAsia="宋体" w:cs="Times New Roman"/>
          <w:b/>
          <w:bCs/>
        </w:rPr>
        <w:t>2</w:t>
      </w:r>
      <w:r>
        <w:rPr>
          <w:rFonts w:ascii="Times New Roman" w:hAnsi="Times New Roman" w:eastAsia="宋体" w:cs="Times New Roman"/>
          <w:b/>
          <w:bCs/>
        </w:rPr>
        <w:t>.1.2.2 流动相及梯度的确定</w:t>
      </w:r>
    </w:p>
    <w:p>
      <w:pPr>
        <w:spacing w:line="360" w:lineRule="auto"/>
        <w:ind w:firstLine="420" w:firstLineChars="200"/>
        <w:jc w:val="left"/>
        <w:rPr>
          <w:rFonts w:ascii="Times New Roman" w:hAnsi="Times New Roman" w:eastAsia="宋体" w:cs="Times New Roman"/>
        </w:rPr>
      </w:pPr>
      <w:r>
        <w:rPr>
          <w:rFonts w:ascii="Times New Roman" w:hAnsi="Times New Roman" w:eastAsia="宋体" w:cs="Times New Roman"/>
        </w:rPr>
        <w:t>参考</w:t>
      </w:r>
      <w:r>
        <w:rPr>
          <w:rFonts w:hint="eastAsia" w:ascii="Times New Roman" w:hAnsi="Times New Roman" w:eastAsia="宋体" w:cs="Times New Roman"/>
        </w:rPr>
        <w:t>相关</w:t>
      </w:r>
      <w:r>
        <w:rPr>
          <w:rFonts w:ascii="Times New Roman" w:hAnsi="Times New Roman" w:eastAsia="宋体" w:cs="Times New Roman"/>
        </w:rPr>
        <w:t>文献，本实验的流动相A采用 0.2 %（体积）甲酸水溶液，流动相B采用0.2 %（体积）甲酸的甲醇溶液。由于此方法筛选的抗生素类药物种类偏多，各种药物的极性强弱、在色谱柱上保留强度以及洗脱的时间长短均不同，利用等度洗脱的方法无法得到非常理想的峰形，因此选择梯度洗脱，以下为梯度洗脱条件，如表1所示。运行时间：0</w:t>
      </w:r>
      <w:r>
        <w:rPr>
          <w:rFonts w:hint="eastAsia" w:ascii="Times New Roman" w:hAnsi="Times New Roman" w:eastAsia="宋体" w:cs="Times New Roman"/>
        </w:rPr>
        <w:t xml:space="preserve"> min</w:t>
      </w:r>
      <w:r>
        <w:rPr>
          <w:rFonts w:ascii="Times New Roman" w:hAnsi="Times New Roman" w:eastAsia="宋体" w:cs="Times New Roman"/>
        </w:rPr>
        <w:t>~15 min。</w:t>
      </w:r>
    </w:p>
    <w:p>
      <w:pPr>
        <w:spacing w:line="360" w:lineRule="auto"/>
        <w:ind w:firstLine="420" w:firstLineChars="200"/>
        <w:jc w:val="center"/>
        <w:rPr>
          <w:rFonts w:ascii="Times New Roman" w:hAnsi="Times New Roman" w:eastAsia="宋体" w:cs="Times New Roman"/>
        </w:rPr>
      </w:pPr>
      <w:r>
        <w:rPr>
          <w:rFonts w:ascii="Times New Roman" w:hAnsi="Times New Roman" w:eastAsia="宋体" w:cs="Times New Roman"/>
        </w:rPr>
        <w:t>表1  梯度洗脱程序</w:t>
      </w:r>
    </w:p>
    <w:tbl>
      <w:tblPr>
        <w:tblStyle w:val="10"/>
        <w:tblW w:w="7371" w:type="dxa"/>
        <w:tblInd w:w="392"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417"/>
        <w:gridCol w:w="2410"/>
        <w:gridCol w:w="1418"/>
        <w:gridCol w:w="2126"/>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Borders>
              <w:top w:val="single" w:color="auto" w:sz="4" w:space="0"/>
              <w:bottom w:val="single" w:color="auto" w:sz="4" w:space="0"/>
            </w:tcBorders>
          </w:tcPr>
          <w:p>
            <w:pPr>
              <w:pStyle w:val="35"/>
              <w:widowControl w:val="0"/>
              <w:ind w:firstLine="0" w:firstLineChars="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时间</w:t>
            </w:r>
          </w:p>
          <w:p>
            <w:pPr>
              <w:pStyle w:val="35"/>
              <w:widowControl w:val="0"/>
              <w:ind w:firstLine="0" w:firstLineChars="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（min）</w:t>
            </w:r>
          </w:p>
        </w:tc>
        <w:tc>
          <w:tcPr>
            <w:tcW w:w="2410" w:type="dxa"/>
            <w:tcBorders>
              <w:top w:val="single" w:color="auto" w:sz="4" w:space="0"/>
              <w:bottom w:val="single" w:color="auto" w:sz="4" w:space="0"/>
            </w:tcBorders>
          </w:tcPr>
          <w:p>
            <w:pPr>
              <w:pStyle w:val="35"/>
              <w:widowControl w:val="0"/>
              <w:ind w:firstLine="0" w:firstLineChars="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流速</w:t>
            </w:r>
          </w:p>
          <w:p>
            <w:pPr>
              <w:pStyle w:val="35"/>
              <w:widowControl w:val="0"/>
              <w:ind w:firstLine="0" w:firstLineChars="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w:t>
            </w:r>
            <w:r>
              <w:rPr>
                <w:rFonts w:ascii="Times New Roman" w:hAnsi="Times New Roman"/>
                <w:color w:val="000000" w:themeColor="text1"/>
                <w:szCs w:val="21"/>
                <w14:textFill>
                  <w14:solidFill>
                    <w14:schemeClr w14:val="tx1"/>
                  </w14:solidFill>
                </w14:textFill>
              </w:rPr>
              <w:t>mL/min</w:t>
            </w:r>
            <w:r>
              <w:rPr>
                <w:rFonts w:ascii="Times New Roman" w:hAnsi="Times New Roman"/>
                <w:color w:val="000000" w:themeColor="text1"/>
                <w14:textFill>
                  <w14:solidFill>
                    <w14:schemeClr w14:val="tx1"/>
                  </w14:solidFill>
                </w14:textFill>
              </w:rPr>
              <w:t>）</w:t>
            </w:r>
          </w:p>
        </w:tc>
        <w:tc>
          <w:tcPr>
            <w:tcW w:w="1418" w:type="dxa"/>
            <w:tcBorders>
              <w:top w:val="single" w:color="auto" w:sz="4" w:space="0"/>
              <w:bottom w:val="single" w:color="auto" w:sz="4" w:space="0"/>
            </w:tcBorders>
          </w:tcPr>
          <w:p>
            <w:pPr>
              <w:pStyle w:val="35"/>
              <w:widowControl w:val="0"/>
              <w:ind w:firstLine="0" w:firstLineChars="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A</w:t>
            </w:r>
          </w:p>
          <w:p>
            <w:pPr>
              <w:pStyle w:val="35"/>
              <w:widowControl w:val="0"/>
              <w:ind w:firstLine="0" w:firstLineChars="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w:t>
            </w:r>
          </w:p>
        </w:tc>
        <w:tc>
          <w:tcPr>
            <w:tcW w:w="2126" w:type="dxa"/>
            <w:tcBorders>
              <w:top w:val="single" w:color="auto" w:sz="4" w:space="0"/>
              <w:bottom w:val="single" w:color="auto" w:sz="4" w:space="0"/>
            </w:tcBorders>
          </w:tcPr>
          <w:p>
            <w:pPr>
              <w:pStyle w:val="35"/>
              <w:widowControl w:val="0"/>
              <w:ind w:firstLine="0" w:firstLineChars="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B</w:t>
            </w:r>
          </w:p>
          <w:p>
            <w:pPr>
              <w:pStyle w:val="35"/>
              <w:widowControl w:val="0"/>
              <w:ind w:firstLine="0" w:firstLineChars="0"/>
              <w:jc w:val="center"/>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Borders>
              <w:top w:val="single" w:color="auto" w:sz="4" w:space="0"/>
            </w:tcBorders>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0.00</w:t>
            </w:r>
          </w:p>
        </w:tc>
        <w:tc>
          <w:tcPr>
            <w:tcW w:w="2410" w:type="dxa"/>
            <w:tcBorders>
              <w:top w:val="single" w:color="auto" w:sz="4" w:space="0"/>
            </w:tcBorders>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0.3</w:t>
            </w:r>
          </w:p>
        </w:tc>
        <w:tc>
          <w:tcPr>
            <w:tcW w:w="1418" w:type="dxa"/>
            <w:tcBorders>
              <w:top w:val="single" w:color="auto" w:sz="4" w:space="0"/>
            </w:tcBorders>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90</w:t>
            </w:r>
          </w:p>
        </w:tc>
        <w:tc>
          <w:tcPr>
            <w:tcW w:w="2126" w:type="dxa"/>
            <w:tcBorders>
              <w:top w:val="single" w:color="auto" w:sz="4" w:space="0"/>
            </w:tcBorders>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0.50</w:t>
            </w:r>
          </w:p>
        </w:tc>
        <w:tc>
          <w:tcPr>
            <w:tcW w:w="2410"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0.3</w:t>
            </w:r>
          </w:p>
        </w:tc>
        <w:tc>
          <w:tcPr>
            <w:tcW w:w="1418"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90</w:t>
            </w:r>
          </w:p>
        </w:tc>
        <w:tc>
          <w:tcPr>
            <w:tcW w:w="2126"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w:t>
            </w:r>
            <w:r>
              <w:rPr>
                <w:rFonts w:hint="eastAsia" w:ascii="Times New Roman" w:hAnsi="Times New Roman" w:eastAsia="宋体"/>
                <w:color w:val="000000" w:themeColor="text1"/>
                <w:sz w:val="21"/>
                <w:szCs w:val="18"/>
                <w14:textFill>
                  <w14:solidFill>
                    <w14:schemeClr w14:val="tx1"/>
                  </w14:solidFill>
                </w14:textFill>
              </w:rPr>
              <w:t>6</w:t>
            </w:r>
            <w:r>
              <w:rPr>
                <w:rFonts w:ascii="Times New Roman" w:hAnsi="Times New Roman" w:eastAsia="宋体"/>
                <w:color w:val="000000" w:themeColor="text1"/>
                <w:sz w:val="21"/>
                <w:szCs w:val="18"/>
                <w14:textFill>
                  <w14:solidFill>
                    <w14:schemeClr w14:val="tx1"/>
                  </w14:solidFill>
                </w14:textFill>
              </w:rPr>
              <w:t>0</w:t>
            </w:r>
          </w:p>
        </w:tc>
        <w:tc>
          <w:tcPr>
            <w:tcW w:w="2410"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0.3</w:t>
            </w:r>
          </w:p>
        </w:tc>
        <w:tc>
          <w:tcPr>
            <w:tcW w:w="1418"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65</w:t>
            </w:r>
          </w:p>
        </w:tc>
        <w:tc>
          <w:tcPr>
            <w:tcW w:w="2126"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35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1.00</w:t>
            </w:r>
          </w:p>
        </w:tc>
        <w:tc>
          <w:tcPr>
            <w:tcW w:w="2410"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0.3</w:t>
            </w:r>
          </w:p>
        </w:tc>
        <w:tc>
          <w:tcPr>
            <w:tcW w:w="1418"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65</w:t>
            </w:r>
          </w:p>
        </w:tc>
        <w:tc>
          <w:tcPr>
            <w:tcW w:w="2126"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35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6.00</w:t>
            </w:r>
          </w:p>
        </w:tc>
        <w:tc>
          <w:tcPr>
            <w:tcW w:w="2410"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0.3</w:t>
            </w:r>
          </w:p>
        </w:tc>
        <w:tc>
          <w:tcPr>
            <w:tcW w:w="1418"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w:t>
            </w:r>
          </w:p>
        </w:tc>
        <w:tc>
          <w:tcPr>
            <w:tcW w:w="2126"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90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10.00</w:t>
            </w:r>
          </w:p>
        </w:tc>
        <w:tc>
          <w:tcPr>
            <w:tcW w:w="2410"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0.3</w:t>
            </w:r>
          </w:p>
        </w:tc>
        <w:tc>
          <w:tcPr>
            <w:tcW w:w="1418"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w:t>
            </w:r>
          </w:p>
        </w:tc>
        <w:tc>
          <w:tcPr>
            <w:tcW w:w="2126"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90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10.10</w:t>
            </w:r>
          </w:p>
        </w:tc>
        <w:tc>
          <w:tcPr>
            <w:tcW w:w="2410"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0.3</w:t>
            </w:r>
          </w:p>
        </w:tc>
        <w:tc>
          <w:tcPr>
            <w:tcW w:w="1418"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90</w:t>
            </w:r>
          </w:p>
        </w:tc>
        <w:tc>
          <w:tcPr>
            <w:tcW w:w="2126"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17"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15.00</w:t>
            </w:r>
          </w:p>
        </w:tc>
        <w:tc>
          <w:tcPr>
            <w:tcW w:w="2410"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0.3</w:t>
            </w:r>
          </w:p>
        </w:tc>
        <w:tc>
          <w:tcPr>
            <w:tcW w:w="1418"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90</w:t>
            </w:r>
          </w:p>
        </w:tc>
        <w:tc>
          <w:tcPr>
            <w:tcW w:w="2126" w:type="dxa"/>
          </w:tcPr>
          <w:p>
            <w:pPr>
              <w:pStyle w:val="8"/>
              <w:widowControl/>
              <w:jc w:val="center"/>
              <w:rPr>
                <w:rFonts w:ascii="Times New Roman" w:hAnsi="Times New Roman" w:eastAsia="宋体"/>
                <w:color w:val="000000" w:themeColor="text1"/>
                <w:sz w:val="21"/>
                <w:szCs w:val="18"/>
                <w14:textFill>
                  <w14:solidFill>
                    <w14:schemeClr w14:val="tx1"/>
                  </w14:solidFill>
                </w14:textFill>
              </w:rPr>
            </w:pPr>
            <w:r>
              <w:rPr>
                <w:rFonts w:ascii="Times New Roman" w:hAnsi="Times New Roman" w:eastAsia="宋体"/>
                <w:color w:val="000000" w:themeColor="text1"/>
                <w:sz w:val="21"/>
                <w:szCs w:val="18"/>
                <w14:textFill>
                  <w14:solidFill>
                    <w14:schemeClr w14:val="tx1"/>
                  </w14:solidFill>
                </w14:textFill>
              </w:rPr>
              <w:t>10</w:t>
            </w:r>
          </w:p>
        </w:tc>
      </w:tr>
    </w:tbl>
    <w:p>
      <w:pPr>
        <w:spacing w:line="480" w:lineRule="auto"/>
        <w:rPr>
          <w:rFonts w:ascii="Times New Roman" w:hAnsi="Times New Roman" w:eastAsia="宋体" w:cs="Times New Roman"/>
        </w:rPr>
      </w:pPr>
      <w:r>
        <w:rPr>
          <w:rFonts w:ascii="Times New Roman" w:hAnsi="Times New Roman" w:eastAsia="宋体" w:cs="Times New Roman"/>
          <w:b/>
          <w:bCs/>
        </w:rPr>
        <w:t>3.</w:t>
      </w:r>
      <w:r>
        <w:rPr>
          <w:rFonts w:hint="eastAsia" w:ascii="Times New Roman" w:hAnsi="Times New Roman" w:eastAsia="宋体" w:cs="Times New Roman"/>
          <w:b/>
          <w:bCs/>
        </w:rPr>
        <w:t>2</w:t>
      </w:r>
      <w:r>
        <w:rPr>
          <w:rFonts w:ascii="Times New Roman" w:hAnsi="Times New Roman" w:eastAsia="宋体" w:cs="Times New Roman"/>
          <w:b/>
          <w:bCs/>
        </w:rPr>
        <w:t>.1.2.3 质谱条件的确定</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配制50 ng/mL 兽药及其它化合物的混合标准溶液在HPLC-MS/MS用全扫描模式下获得各药物的一级质谱图，确定各个药物的保留时间。并且优化出最佳的碎裂电压、干燥气温度及流速、雾化气压力、鞘气温度和流量、毛细管和喷嘴的电压等参数。</w:t>
      </w:r>
    </w:p>
    <w:p>
      <w:pPr>
        <w:pStyle w:val="8"/>
        <w:widowControl/>
        <w:rPr>
          <w:rFonts w:ascii="Times New Roman" w:hAnsi="Times New Roman" w:eastAsia="宋体"/>
          <w:kern w:val="2"/>
          <w:sz w:val="21"/>
        </w:rPr>
      </w:pPr>
      <w:r>
        <w:rPr>
          <w:rFonts w:ascii="Times New Roman" w:hAnsi="Times New Roman" w:eastAsia="宋体"/>
          <w:kern w:val="2"/>
          <w:sz w:val="21"/>
        </w:rPr>
        <w:t xml:space="preserve">离子源：电喷雾离子源(ESI)； </w:t>
      </w:r>
    </w:p>
    <w:p>
      <w:pPr>
        <w:pStyle w:val="8"/>
        <w:widowControl/>
        <w:rPr>
          <w:rFonts w:ascii="Times New Roman" w:hAnsi="Times New Roman" w:eastAsia="宋体"/>
          <w:kern w:val="2"/>
          <w:sz w:val="21"/>
        </w:rPr>
      </w:pPr>
      <w:r>
        <w:rPr>
          <w:rFonts w:ascii="Times New Roman" w:hAnsi="Times New Roman" w:eastAsia="宋体"/>
          <w:kern w:val="2"/>
          <w:sz w:val="21"/>
        </w:rPr>
        <w:t>电离源极性：正模式；</w:t>
      </w:r>
    </w:p>
    <w:p>
      <w:pPr>
        <w:pStyle w:val="8"/>
        <w:widowControl/>
        <w:rPr>
          <w:rFonts w:ascii="Times New Roman" w:hAnsi="Times New Roman" w:eastAsia="宋体"/>
          <w:kern w:val="2"/>
          <w:sz w:val="21"/>
        </w:rPr>
      </w:pPr>
      <w:r>
        <w:rPr>
          <w:rFonts w:ascii="Times New Roman" w:hAnsi="Times New Roman" w:eastAsia="宋体"/>
          <w:kern w:val="2"/>
          <w:sz w:val="21"/>
        </w:rPr>
        <w:t>监测模式：多反应监测模式；</w:t>
      </w:r>
    </w:p>
    <w:p>
      <w:pPr>
        <w:pStyle w:val="8"/>
        <w:widowControl/>
        <w:rPr>
          <w:rFonts w:ascii="Times New Roman" w:hAnsi="Times New Roman" w:eastAsia="宋体"/>
          <w:kern w:val="2"/>
          <w:sz w:val="21"/>
        </w:rPr>
      </w:pPr>
      <w:r>
        <w:rPr>
          <w:rFonts w:ascii="Times New Roman" w:hAnsi="Times New Roman" w:eastAsia="宋体"/>
          <w:kern w:val="2"/>
          <w:sz w:val="21"/>
        </w:rPr>
        <w:t xml:space="preserve">碰撞气CAD（Collision Gas）：5 Psi；  </w:t>
      </w:r>
    </w:p>
    <w:p>
      <w:pPr>
        <w:pStyle w:val="8"/>
        <w:widowControl/>
        <w:rPr>
          <w:rFonts w:ascii="Times New Roman" w:hAnsi="Times New Roman" w:eastAsia="宋体"/>
          <w:kern w:val="2"/>
          <w:sz w:val="21"/>
        </w:rPr>
      </w:pPr>
      <w:r>
        <w:rPr>
          <w:rFonts w:ascii="Times New Roman" w:hAnsi="Times New Roman" w:eastAsia="宋体"/>
          <w:kern w:val="2"/>
          <w:sz w:val="21"/>
        </w:rPr>
        <w:t xml:space="preserve">气帘气 CUR（Curtain Gas）：30 Psi；  </w:t>
      </w:r>
    </w:p>
    <w:p>
      <w:pPr>
        <w:pStyle w:val="8"/>
        <w:widowControl/>
        <w:rPr>
          <w:rFonts w:ascii="Times New Roman" w:hAnsi="Times New Roman" w:eastAsia="宋体"/>
          <w:kern w:val="2"/>
          <w:sz w:val="21"/>
        </w:rPr>
      </w:pPr>
      <w:r>
        <w:rPr>
          <w:rFonts w:ascii="Times New Roman" w:hAnsi="Times New Roman" w:eastAsia="宋体"/>
          <w:kern w:val="2"/>
          <w:sz w:val="21"/>
        </w:rPr>
        <w:t xml:space="preserve">雾化气GS1（Ion Source Gas1）：60 Psi；   </w:t>
      </w:r>
    </w:p>
    <w:p>
      <w:pPr>
        <w:pStyle w:val="8"/>
        <w:widowControl/>
        <w:rPr>
          <w:rFonts w:ascii="Times New Roman" w:hAnsi="Times New Roman" w:eastAsia="宋体"/>
          <w:kern w:val="2"/>
          <w:sz w:val="21"/>
        </w:rPr>
      </w:pPr>
      <w:r>
        <w:rPr>
          <w:rFonts w:ascii="Times New Roman" w:hAnsi="Times New Roman" w:eastAsia="宋体"/>
          <w:kern w:val="2"/>
          <w:sz w:val="21"/>
        </w:rPr>
        <w:t xml:space="preserve">辅助气GS2（Ion Source Gas2）：60 Psi；  </w:t>
      </w:r>
    </w:p>
    <w:p>
      <w:pPr>
        <w:pStyle w:val="8"/>
        <w:widowControl/>
        <w:rPr>
          <w:rFonts w:ascii="Times New Roman" w:hAnsi="Times New Roman" w:eastAsia="宋体"/>
          <w:kern w:val="2"/>
          <w:sz w:val="21"/>
        </w:rPr>
      </w:pPr>
      <w:r>
        <w:rPr>
          <w:rFonts w:ascii="Times New Roman" w:hAnsi="Times New Roman" w:eastAsia="宋体"/>
          <w:kern w:val="2"/>
          <w:sz w:val="21"/>
        </w:rPr>
        <w:t>喷雾电压IS （IonSpray Voltage）：5000 V（ESI）；</w:t>
      </w:r>
    </w:p>
    <w:p>
      <w:pPr>
        <w:pStyle w:val="8"/>
        <w:widowControl/>
        <w:ind w:firstLine="420" w:firstLineChars="200"/>
        <w:rPr>
          <w:rFonts w:ascii="Times New Roman" w:hAnsi="Times New Roman" w:eastAsia="宋体"/>
          <w:kern w:val="2"/>
          <w:sz w:val="21"/>
        </w:rPr>
      </w:pPr>
      <w:r>
        <w:rPr>
          <w:rFonts w:ascii="Times New Roman" w:hAnsi="Times New Roman" w:eastAsia="宋体"/>
          <w:kern w:val="2"/>
          <w:sz w:val="21"/>
        </w:rPr>
        <w:t>选择离子参数具体条件</w:t>
      </w:r>
      <w:r>
        <w:rPr>
          <w:rFonts w:hint="eastAsia" w:ascii="Times New Roman" w:hAnsi="Times New Roman" w:eastAsia="宋体"/>
          <w:kern w:val="2"/>
          <w:sz w:val="21"/>
        </w:rPr>
        <w:t>见</w:t>
      </w:r>
      <w:r>
        <w:rPr>
          <w:rFonts w:ascii="Times New Roman" w:hAnsi="Times New Roman" w:eastAsia="宋体"/>
          <w:kern w:val="2"/>
          <w:sz w:val="21"/>
        </w:rPr>
        <w:t>表2。</w:t>
      </w:r>
    </w:p>
    <w:p>
      <w:pPr>
        <w:pStyle w:val="8"/>
        <w:widowControl/>
        <w:spacing w:beforeAutospacing="0" w:afterAutospacing="0"/>
        <w:jc w:val="center"/>
        <w:rPr>
          <w:rFonts w:ascii="Times New Roman" w:hAnsi="Times New Roman" w:eastAsia="宋体"/>
          <w:b/>
          <w:kern w:val="2"/>
          <w:sz w:val="21"/>
        </w:rPr>
      </w:pPr>
      <w:r>
        <w:rPr>
          <w:rFonts w:ascii="Times New Roman" w:hAnsi="Times New Roman" w:eastAsia="宋体"/>
          <w:b/>
          <w:kern w:val="2"/>
          <w:sz w:val="21"/>
        </w:rPr>
        <w:t>表2：选择离子参数设定表</w:t>
      </w:r>
    </w:p>
    <w:tbl>
      <w:tblPr>
        <w:tblStyle w:val="9"/>
        <w:tblW w:w="4364" w:type="pct"/>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56"/>
        <w:gridCol w:w="2514"/>
        <w:gridCol w:w="1652"/>
        <w:gridCol w:w="1164"/>
        <w:gridCol w:w="1347"/>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PrEx>
        <w:tc>
          <w:tcPr>
            <w:tcW w:w="509" w:type="pct"/>
            <w:tcBorders>
              <w:top w:val="single" w:color="auto" w:sz="4" w:space="0"/>
              <w:bottom w:val="single" w:color="auto" w:sz="4" w:space="0"/>
            </w:tcBorders>
            <w:vAlign w:val="center"/>
          </w:tcPr>
          <w:p>
            <w:pPr>
              <w:jc w:val="center"/>
              <w:rPr>
                <w:szCs w:val="21"/>
              </w:rPr>
            </w:pPr>
            <w:r>
              <w:rPr>
                <w:rFonts w:hint="eastAsia"/>
                <w:szCs w:val="21"/>
              </w:rPr>
              <w:t>类别</w:t>
            </w:r>
          </w:p>
        </w:tc>
        <w:tc>
          <w:tcPr>
            <w:tcW w:w="1691" w:type="pct"/>
            <w:tcBorders>
              <w:top w:val="single" w:color="auto" w:sz="4" w:space="0"/>
              <w:bottom w:val="single" w:color="auto" w:sz="4" w:space="0"/>
            </w:tcBorders>
            <w:vAlign w:val="center"/>
          </w:tcPr>
          <w:p>
            <w:pPr>
              <w:jc w:val="center"/>
              <w:rPr>
                <w:szCs w:val="21"/>
              </w:rPr>
            </w:pPr>
            <w:r>
              <w:rPr>
                <w:rFonts w:ascii="Times New Roman"/>
                <w:szCs w:val="21"/>
              </w:rPr>
              <w:t>被测物名称</w:t>
            </w:r>
          </w:p>
        </w:tc>
        <w:tc>
          <w:tcPr>
            <w:tcW w:w="1111" w:type="pct"/>
            <w:tcBorders>
              <w:top w:val="single" w:color="auto" w:sz="4" w:space="0"/>
              <w:bottom w:val="single" w:color="auto" w:sz="4" w:space="0"/>
            </w:tcBorders>
            <w:vAlign w:val="center"/>
          </w:tcPr>
          <w:p>
            <w:pPr>
              <w:jc w:val="center"/>
              <w:rPr>
                <w:szCs w:val="21"/>
              </w:rPr>
            </w:pPr>
            <w:r>
              <w:rPr>
                <w:rFonts w:hint="eastAsia" w:ascii="Times New Roman"/>
                <w:szCs w:val="21"/>
              </w:rPr>
              <w:t>监测</w:t>
            </w:r>
            <w:r>
              <w:rPr>
                <w:rFonts w:ascii="Times New Roman"/>
                <w:szCs w:val="21"/>
              </w:rPr>
              <w:t>离子对（</w:t>
            </w:r>
            <w:r>
              <w:rPr>
                <w:rFonts w:ascii="Times New Roman"/>
                <w:i/>
                <w:iCs/>
                <w:szCs w:val="21"/>
              </w:rPr>
              <w:t>m/z</w:t>
            </w:r>
            <w:r>
              <w:rPr>
                <w:rFonts w:ascii="Times New Roman"/>
                <w:szCs w:val="21"/>
              </w:rPr>
              <w:t>）</w:t>
            </w:r>
          </w:p>
        </w:tc>
        <w:tc>
          <w:tcPr>
            <w:tcW w:w="783" w:type="pct"/>
            <w:tcBorders>
              <w:top w:val="single" w:color="auto" w:sz="4" w:space="0"/>
              <w:bottom w:val="single" w:color="auto" w:sz="4" w:space="0"/>
            </w:tcBorders>
            <w:vAlign w:val="center"/>
          </w:tcPr>
          <w:p>
            <w:pPr>
              <w:jc w:val="center"/>
              <w:rPr>
                <w:szCs w:val="21"/>
              </w:rPr>
            </w:pPr>
            <w:r>
              <w:rPr>
                <w:rFonts w:hint="eastAsia" w:ascii="Times New Roman"/>
                <w:szCs w:val="21"/>
              </w:rPr>
              <w:t>去簇</w:t>
            </w:r>
            <w:r>
              <w:rPr>
                <w:rFonts w:ascii="Times New Roman"/>
                <w:szCs w:val="21"/>
              </w:rPr>
              <w:t>电压（V）</w:t>
            </w:r>
          </w:p>
        </w:tc>
        <w:tc>
          <w:tcPr>
            <w:tcW w:w="906" w:type="pct"/>
            <w:tcBorders>
              <w:top w:val="single" w:color="auto" w:sz="4" w:space="0"/>
              <w:bottom w:val="single" w:color="auto" w:sz="4" w:space="0"/>
            </w:tcBorders>
            <w:vAlign w:val="center"/>
          </w:tcPr>
          <w:p>
            <w:pPr>
              <w:jc w:val="center"/>
              <w:rPr>
                <w:szCs w:val="21"/>
              </w:rPr>
            </w:pPr>
            <w:r>
              <w:rPr>
                <w:rFonts w:ascii="Times New Roman"/>
                <w:szCs w:val="21"/>
              </w:rPr>
              <w:t>碰撞能量（eV）</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restart"/>
            <w:tcBorders>
              <w:top w:val="single" w:color="auto" w:sz="4" w:space="0"/>
            </w:tcBorders>
            <w:vAlign w:val="center"/>
          </w:tcPr>
          <w:p>
            <w:pPr>
              <w:jc w:val="center"/>
              <w:rPr>
                <w:szCs w:val="21"/>
              </w:rPr>
            </w:pPr>
            <w:r>
              <w:rPr>
                <w:rFonts w:hint="eastAsia" w:ascii="Times New Roman" w:hAnsi="Times New Roman" w:eastAsia="宋体" w:cs="Times New Roman"/>
                <w:szCs w:val="21"/>
              </w:rPr>
              <w:t>磺胺类</w:t>
            </w:r>
          </w:p>
          <w:p>
            <w:pPr>
              <w:jc w:val="center"/>
              <w:rPr>
                <w:szCs w:val="21"/>
              </w:rPr>
            </w:pPr>
          </w:p>
        </w:tc>
        <w:tc>
          <w:tcPr>
            <w:tcW w:w="1691" w:type="pct"/>
            <w:vMerge w:val="restart"/>
            <w:tcBorders>
              <w:top w:val="single" w:color="auto" w:sz="4" w:space="0"/>
            </w:tcBorders>
            <w:vAlign w:val="center"/>
          </w:tcPr>
          <w:p>
            <w:pPr>
              <w:jc w:val="center"/>
              <w:rPr>
                <w:szCs w:val="21"/>
              </w:rPr>
            </w:pPr>
            <w:r>
              <w:rPr>
                <w:szCs w:val="21"/>
              </w:rPr>
              <w:t>磺胺嘧啶</w:t>
            </w:r>
          </w:p>
          <w:p>
            <w:pPr>
              <w:jc w:val="center"/>
              <w:rPr>
                <w:szCs w:val="21"/>
              </w:rPr>
            </w:pPr>
            <w:r>
              <w:rPr>
                <w:szCs w:val="21"/>
                <w:shd w:val="clear" w:color="auto" w:fill="FFFFFF"/>
              </w:rPr>
              <w:t>Sulfadiazine</w:t>
            </w:r>
          </w:p>
        </w:tc>
        <w:tc>
          <w:tcPr>
            <w:tcW w:w="1111" w:type="pct"/>
            <w:tcBorders>
              <w:top w:val="single" w:color="auto" w:sz="4" w:space="0"/>
              <w:bottom w:val="nil"/>
            </w:tcBorders>
            <w:vAlign w:val="center"/>
          </w:tcPr>
          <w:p>
            <w:pPr>
              <w:jc w:val="center"/>
              <w:rPr>
                <w:rFonts w:ascii="Times New Roman" w:hAnsi="Times New Roman" w:cs="Times New Roman"/>
                <w:szCs w:val="21"/>
              </w:rPr>
            </w:pPr>
            <w:r>
              <w:rPr>
                <w:rFonts w:ascii="Times New Roman" w:hAnsi="Times New Roman" w:cs="Times New Roman"/>
                <w:szCs w:val="21"/>
              </w:rPr>
              <w:t>251.5</w:t>
            </w:r>
            <w:r>
              <w:rPr>
                <w:rFonts w:hint="eastAsia" w:ascii="Times New Roman" w:hAnsi="Times New Roman" w:cs="Times New Roman"/>
                <w:szCs w:val="21"/>
              </w:rPr>
              <w:t>&gt;</w:t>
            </w:r>
            <w:r>
              <w:rPr>
                <w:rFonts w:ascii="Times New Roman" w:hAnsi="Times New Roman" w:cs="Times New Roman"/>
                <w:szCs w:val="21"/>
              </w:rPr>
              <w:t>155.9</w:t>
            </w:r>
            <w:r>
              <w:rPr>
                <w:rFonts w:ascii="Times New Roman" w:hAnsi="Times New Roman" w:cs="Times New Roman"/>
                <w:szCs w:val="21"/>
                <w:vertAlign w:val="superscript"/>
              </w:rPr>
              <w:t>a</w:t>
            </w:r>
          </w:p>
        </w:tc>
        <w:tc>
          <w:tcPr>
            <w:tcW w:w="783" w:type="pct"/>
            <w:vMerge w:val="restart"/>
            <w:tcBorders>
              <w:top w:val="single" w:color="auto" w:sz="4" w:space="0"/>
            </w:tcBorders>
            <w:vAlign w:val="center"/>
          </w:tcPr>
          <w:p>
            <w:pPr>
              <w:jc w:val="center"/>
              <w:rPr>
                <w:rFonts w:ascii="Times New Roman" w:hAnsi="Times New Roman" w:cs="Times New Roman"/>
                <w:szCs w:val="21"/>
              </w:rPr>
            </w:pPr>
            <w:r>
              <w:rPr>
                <w:rFonts w:hint="eastAsia" w:ascii="Times New Roman" w:hAnsi="Times New Roman" w:cs="Times New Roman"/>
                <w:szCs w:val="21"/>
              </w:rPr>
              <w:t>72</w:t>
            </w:r>
          </w:p>
        </w:tc>
        <w:tc>
          <w:tcPr>
            <w:tcW w:w="906" w:type="pct"/>
            <w:tcBorders>
              <w:top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21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tcBorders>
              <w:top w:val="nil"/>
            </w:tcBorders>
            <w:vAlign w:val="center"/>
          </w:tcPr>
          <w:p>
            <w:pPr>
              <w:jc w:val="center"/>
              <w:rPr>
                <w:rFonts w:ascii="Times New Roman" w:hAnsi="Times New Roman" w:cs="Times New Roman"/>
                <w:szCs w:val="21"/>
              </w:rPr>
            </w:pPr>
            <w:r>
              <w:rPr>
                <w:rFonts w:ascii="Times New Roman" w:hAnsi="Times New Roman" w:cs="Times New Roman"/>
                <w:szCs w:val="21"/>
              </w:rPr>
              <w:t>251.5</w:t>
            </w:r>
            <w:r>
              <w:rPr>
                <w:rFonts w:hint="eastAsia" w:ascii="Times New Roman" w:hAnsi="Times New Roman" w:cs="Times New Roman"/>
                <w:szCs w:val="21"/>
              </w:rPr>
              <w:t>&gt;</w:t>
            </w:r>
            <w:r>
              <w:rPr>
                <w:rFonts w:ascii="Times New Roman" w:hAnsi="Times New Roman" w:cs="Times New Roman"/>
                <w:szCs w:val="21"/>
              </w:rPr>
              <w:t>108.</w:t>
            </w:r>
            <w:r>
              <w:rPr>
                <w:rFonts w:hint="eastAsia" w:ascii="Times New Roman" w:hAnsi="Times New Roman" w:cs="Times New Roman"/>
                <w:szCs w:val="21"/>
              </w:rPr>
              <w:t>1</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34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磺胺二甲基嘧啶</w:t>
            </w:r>
          </w:p>
          <w:p>
            <w:pPr>
              <w:jc w:val="center"/>
              <w:rPr>
                <w:szCs w:val="21"/>
              </w:rPr>
            </w:pPr>
            <w:r>
              <w:rPr>
                <w:szCs w:val="21"/>
                <w:shd w:val="clear" w:color="auto" w:fill="FFFFFF"/>
              </w:rPr>
              <w:t>Sulfadimidine</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278.9</w:t>
            </w:r>
            <w:r>
              <w:rPr>
                <w:rFonts w:hint="eastAsia" w:ascii="Times New Roman" w:hAnsi="Times New Roman" w:cs="Times New Roman"/>
                <w:szCs w:val="21"/>
              </w:rPr>
              <w:t>&gt;</w:t>
            </w:r>
            <w:r>
              <w:rPr>
                <w:rFonts w:ascii="Times New Roman" w:hAnsi="Times New Roman" w:cs="Times New Roman"/>
                <w:szCs w:val="21"/>
              </w:rPr>
              <w:t>108.</w:t>
            </w:r>
            <w:r>
              <w:rPr>
                <w:rFonts w:hint="eastAsia" w:ascii="Times New Roman" w:hAnsi="Times New Roman" w:cs="Times New Roman"/>
                <w:szCs w:val="21"/>
              </w:rPr>
              <w:t>2</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85</w:t>
            </w: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278.9</w:t>
            </w:r>
            <w:r>
              <w:rPr>
                <w:rFonts w:hint="eastAsia" w:ascii="Times New Roman" w:hAnsi="Times New Roman" w:cs="Times New Roman"/>
                <w:szCs w:val="21"/>
              </w:rPr>
              <w:t>&gt;156.2</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38</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磺胺氯哒嗪</w:t>
            </w:r>
          </w:p>
          <w:p>
            <w:pPr>
              <w:jc w:val="center"/>
              <w:rPr>
                <w:szCs w:val="21"/>
              </w:rPr>
            </w:pPr>
            <w:r>
              <w:rPr>
                <w:szCs w:val="21"/>
                <w:shd w:val="clear" w:color="auto" w:fill="FFFFFF"/>
              </w:rPr>
              <w:t>sulfachloropyridazine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285.0</w:t>
            </w:r>
            <w:r>
              <w:rPr>
                <w:rFonts w:hint="eastAsia" w:ascii="Times New Roman" w:hAnsi="Times New Roman" w:cs="Times New Roman"/>
                <w:kern w:val="0"/>
                <w:szCs w:val="21"/>
              </w:rPr>
              <w:t>&gt;</w:t>
            </w:r>
            <w:r>
              <w:rPr>
                <w:rFonts w:ascii="Times New Roman" w:hAnsi="Times New Roman" w:cs="Times New Roman"/>
                <w:kern w:val="0"/>
                <w:szCs w:val="21"/>
              </w:rPr>
              <w:t>156.1</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70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285.0</w:t>
            </w:r>
            <w:r>
              <w:rPr>
                <w:rFonts w:hint="eastAsia" w:ascii="Times New Roman" w:hAnsi="Times New Roman" w:cs="Times New Roman"/>
                <w:szCs w:val="21"/>
              </w:rPr>
              <w:t>&gt;</w:t>
            </w:r>
            <w:r>
              <w:rPr>
                <w:rFonts w:ascii="Times New Roman" w:hAnsi="Times New Roman" w:cs="Times New Roman"/>
                <w:szCs w:val="21"/>
              </w:rPr>
              <w:t>108.</w:t>
            </w:r>
            <w:r>
              <w:rPr>
                <w:rFonts w:hint="eastAsia" w:ascii="Times New Roman" w:hAnsi="Times New Roman" w:cs="Times New Roman"/>
                <w:szCs w:val="21"/>
              </w:rPr>
              <w:t>0</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磺胺甲噁唑</w:t>
            </w:r>
          </w:p>
          <w:p>
            <w:pPr>
              <w:jc w:val="center"/>
              <w:rPr>
                <w:szCs w:val="21"/>
              </w:rPr>
            </w:pPr>
            <w:r>
              <w:rPr>
                <w:szCs w:val="21"/>
                <w:shd w:val="clear" w:color="auto" w:fill="FFFFFF"/>
              </w:rPr>
              <w:t>sulfamethoxazole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254.2</w:t>
            </w:r>
            <w:r>
              <w:rPr>
                <w:rFonts w:hint="eastAsia" w:ascii="Times New Roman" w:hAnsi="Times New Roman" w:cs="Times New Roman"/>
                <w:kern w:val="0"/>
                <w:szCs w:val="21"/>
              </w:rPr>
              <w:t>&gt;</w:t>
            </w:r>
            <w:r>
              <w:rPr>
                <w:rFonts w:ascii="Times New Roman" w:hAnsi="Times New Roman" w:cs="Times New Roman"/>
                <w:kern w:val="0"/>
                <w:szCs w:val="21"/>
              </w:rPr>
              <w:t>156.1</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72</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254.2</w:t>
            </w:r>
            <w:r>
              <w:rPr>
                <w:rFonts w:hint="eastAsia" w:ascii="Times New Roman" w:hAnsi="Times New Roman" w:cs="Times New Roman"/>
                <w:szCs w:val="21"/>
              </w:rPr>
              <w:t>&gt;</w:t>
            </w:r>
            <w:r>
              <w:rPr>
                <w:rFonts w:ascii="Times New Roman" w:hAnsi="Times New Roman" w:cs="Times New Roman"/>
                <w:szCs w:val="21"/>
              </w:rPr>
              <w:t>108</w:t>
            </w:r>
            <w:r>
              <w:rPr>
                <w:rFonts w:hint="eastAsia" w:ascii="Times New Roman" w:hAnsi="Times New Roman" w:cs="Times New Roman"/>
                <w:szCs w:val="21"/>
              </w:rPr>
              <w:t>.1</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磺胺甲氧嗪</w:t>
            </w:r>
          </w:p>
          <w:p>
            <w:pPr>
              <w:jc w:val="center"/>
              <w:rPr>
                <w:szCs w:val="21"/>
              </w:rPr>
            </w:pPr>
            <w:r>
              <w:rPr>
                <w:szCs w:val="21"/>
                <w:shd w:val="clear" w:color="auto" w:fill="FFFFFF"/>
              </w:rPr>
              <w:t>Sulfamethoxypyridazine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281.0</w:t>
            </w:r>
            <w:r>
              <w:rPr>
                <w:rFonts w:hint="eastAsia" w:ascii="Times New Roman" w:hAnsi="Times New Roman" w:cs="Times New Roman"/>
                <w:kern w:val="0"/>
                <w:szCs w:val="21"/>
              </w:rPr>
              <w:t>&gt;</w:t>
            </w:r>
            <w:r>
              <w:rPr>
                <w:rFonts w:ascii="Times New Roman" w:hAnsi="Times New Roman" w:cs="Times New Roman"/>
                <w:kern w:val="0"/>
                <w:szCs w:val="21"/>
              </w:rPr>
              <w:t>156.0</w:t>
            </w:r>
            <w:r>
              <w:rPr>
                <w:rFonts w:ascii="Times New Roman" w:hAnsi="Times New Roman" w:cs="Times New Roman"/>
                <w:szCs w:val="21"/>
                <w:vertAlign w:val="superscript"/>
              </w:rPr>
              <w:t>a</w:t>
            </w:r>
          </w:p>
        </w:tc>
        <w:tc>
          <w:tcPr>
            <w:tcW w:w="783" w:type="pct"/>
            <w:vMerge w:val="restart"/>
            <w:vAlign w:val="center"/>
          </w:tcPr>
          <w:p>
            <w:pPr>
              <w:jc w:val="center"/>
              <w:rPr>
                <w:rFonts w:ascii="Times New Roman" w:hAnsi="Times New Roman" w:cs="Times New Roman"/>
                <w:szCs w:val="21"/>
              </w:rPr>
            </w:pPr>
            <w:r>
              <w:rPr>
                <w:rFonts w:ascii="Times New Roman" w:hAnsi="Times New Roman" w:cs="Times New Roman"/>
                <w:szCs w:val="21"/>
              </w:rPr>
              <w:t>75</w:t>
            </w:r>
          </w:p>
        </w:tc>
        <w:tc>
          <w:tcPr>
            <w:tcW w:w="906" w:type="pct"/>
            <w:vAlign w:val="bottom"/>
          </w:tcPr>
          <w:p>
            <w:pPr>
              <w:widowControl/>
              <w:jc w:val="center"/>
              <w:textAlignment w:val="bottom"/>
              <w:rPr>
                <w:rFonts w:ascii="Times New Roman" w:hAnsi="Times New Roman" w:cs="Times New Roman"/>
                <w:szCs w:val="21"/>
              </w:rPr>
            </w:pPr>
            <w:r>
              <w:rPr>
                <w:rFonts w:ascii="Times New Roman" w:hAnsi="Times New Roman" w:eastAsia="宋体" w:cs="Times New Roman"/>
                <w:kern w:val="0"/>
                <w:szCs w:val="21"/>
                <w:lang w:bidi="ar"/>
              </w:rPr>
              <w:t>25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281.0</w:t>
            </w:r>
            <w:r>
              <w:rPr>
                <w:rFonts w:hint="eastAsia" w:ascii="Times New Roman" w:hAnsi="Times New Roman" w:cs="Times New Roman"/>
                <w:szCs w:val="21"/>
              </w:rPr>
              <w:t>&gt;</w:t>
            </w:r>
            <w:r>
              <w:rPr>
                <w:rFonts w:ascii="Times New Roman" w:hAnsi="Times New Roman" w:cs="Times New Roman"/>
                <w:szCs w:val="21"/>
              </w:rPr>
              <w:t>108.0</w:t>
            </w:r>
          </w:p>
        </w:tc>
        <w:tc>
          <w:tcPr>
            <w:tcW w:w="783" w:type="pct"/>
            <w:vMerge w:val="continue"/>
            <w:vAlign w:val="center"/>
          </w:tcPr>
          <w:p>
            <w:pPr>
              <w:jc w:val="center"/>
              <w:rPr>
                <w:rFonts w:ascii="Times New Roman" w:hAnsi="Times New Roman" w:cs="Times New Roman"/>
                <w:szCs w:val="21"/>
              </w:rPr>
            </w:pPr>
          </w:p>
        </w:tc>
        <w:tc>
          <w:tcPr>
            <w:tcW w:w="906" w:type="pct"/>
            <w:vAlign w:val="bottom"/>
          </w:tcPr>
          <w:p>
            <w:pPr>
              <w:widowControl/>
              <w:jc w:val="center"/>
              <w:textAlignment w:val="bottom"/>
              <w:rPr>
                <w:rFonts w:ascii="Times New Roman" w:hAnsi="Times New Roman" w:cs="Times New Roman"/>
                <w:szCs w:val="21"/>
              </w:rPr>
            </w:pPr>
            <w:r>
              <w:rPr>
                <w:rFonts w:ascii="Times New Roman" w:hAnsi="Times New Roman" w:eastAsia="宋体" w:cs="Times New Roman"/>
                <w:kern w:val="0"/>
                <w:szCs w:val="21"/>
                <w:lang w:bidi="ar"/>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磺胺对甲氧嘧啶</w:t>
            </w:r>
          </w:p>
          <w:p>
            <w:pPr>
              <w:jc w:val="center"/>
              <w:rPr>
                <w:szCs w:val="21"/>
              </w:rPr>
            </w:pPr>
            <w:r>
              <w:rPr>
                <w:bCs/>
                <w:szCs w:val="21"/>
              </w:rPr>
              <w:t>Sulfameter</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281.1</w:t>
            </w:r>
            <w:r>
              <w:rPr>
                <w:rFonts w:hint="eastAsia" w:ascii="Times New Roman" w:hAnsi="Times New Roman" w:cs="Times New Roman"/>
                <w:kern w:val="0"/>
                <w:szCs w:val="21"/>
              </w:rPr>
              <w:t>&gt;</w:t>
            </w:r>
            <w:r>
              <w:rPr>
                <w:rFonts w:ascii="Times New Roman" w:hAnsi="Times New Roman" w:cs="Times New Roman"/>
                <w:kern w:val="0"/>
                <w:szCs w:val="21"/>
              </w:rPr>
              <w:t>156.0</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ascii="Times New Roman" w:hAnsi="Times New Roman" w:cs="Times New Roman"/>
                <w:szCs w:val="21"/>
              </w:rPr>
              <w:t>70</w:t>
            </w:r>
          </w:p>
        </w:tc>
        <w:tc>
          <w:tcPr>
            <w:tcW w:w="906" w:type="pct"/>
            <w:vAlign w:val="bottom"/>
          </w:tcPr>
          <w:p>
            <w:pPr>
              <w:widowControl/>
              <w:jc w:val="center"/>
              <w:textAlignment w:val="bottom"/>
              <w:rPr>
                <w:rFonts w:ascii="Times New Roman" w:hAnsi="Times New Roman" w:cs="Times New Roman"/>
                <w:szCs w:val="21"/>
              </w:rPr>
            </w:pPr>
            <w:r>
              <w:rPr>
                <w:rFonts w:ascii="Times New Roman" w:hAnsi="Times New Roman" w:eastAsia="宋体" w:cs="Times New Roman"/>
                <w:kern w:val="0"/>
                <w:szCs w:val="21"/>
                <w:lang w:bidi="ar"/>
              </w:rPr>
              <w:t>25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281.1</w:t>
            </w:r>
            <w:r>
              <w:rPr>
                <w:rFonts w:hint="eastAsia" w:ascii="Times New Roman" w:hAnsi="Times New Roman" w:cs="Times New Roman"/>
                <w:szCs w:val="21"/>
              </w:rPr>
              <w:t>&gt;</w:t>
            </w:r>
            <w:r>
              <w:rPr>
                <w:rFonts w:ascii="Times New Roman" w:hAnsi="Times New Roman" w:cs="Times New Roman"/>
                <w:szCs w:val="21"/>
              </w:rPr>
              <w:t>108.0</w:t>
            </w:r>
          </w:p>
        </w:tc>
        <w:tc>
          <w:tcPr>
            <w:tcW w:w="783" w:type="pct"/>
            <w:vMerge w:val="continue"/>
            <w:vAlign w:val="center"/>
          </w:tcPr>
          <w:p>
            <w:pPr>
              <w:jc w:val="center"/>
              <w:rPr>
                <w:rFonts w:ascii="Times New Roman" w:hAnsi="Times New Roman" w:cs="Times New Roman"/>
                <w:szCs w:val="21"/>
              </w:rPr>
            </w:pPr>
          </w:p>
        </w:tc>
        <w:tc>
          <w:tcPr>
            <w:tcW w:w="906" w:type="pct"/>
            <w:vAlign w:val="bottom"/>
          </w:tcPr>
          <w:p>
            <w:pPr>
              <w:widowControl/>
              <w:jc w:val="center"/>
              <w:textAlignment w:val="bottom"/>
              <w:rPr>
                <w:rFonts w:ascii="Times New Roman" w:hAnsi="Times New Roman" w:cs="Times New Roman"/>
                <w:szCs w:val="21"/>
              </w:rPr>
            </w:pPr>
            <w:r>
              <w:rPr>
                <w:rFonts w:ascii="Times New Roman" w:hAnsi="Times New Roman" w:eastAsia="宋体" w:cs="Times New Roman"/>
                <w:kern w:val="0"/>
                <w:szCs w:val="21"/>
                <w:lang w:bidi="ar"/>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磺胺间甲氧嘧啶</w:t>
            </w:r>
          </w:p>
          <w:p>
            <w:pPr>
              <w:jc w:val="center"/>
              <w:rPr>
                <w:szCs w:val="21"/>
              </w:rPr>
            </w:pPr>
            <w:r>
              <w:rPr>
                <w:szCs w:val="21"/>
                <w:shd w:val="clear" w:color="auto" w:fill="FFFFFF"/>
              </w:rPr>
              <w:t>sulfamonomethoxine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281.1</w:t>
            </w:r>
            <w:r>
              <w:rPr>
                <w:rFonts w:hint="eastAsia" w:ascii="Times New Roman" w:hAnsi="Times New Roman" w:cs="Times New Roman"/>
                <w:kern w:val="0"/>
                <w:szCs w:val="21"/>
              </w:rPr>
              <w:t>&gt;</w:t>
            </w:r>
            <w:r>
              <w:rPr>
                <w:rFonts w:ascii="Times New Roman" w:hAnsi="Times New Roman" w:cs="Times New Roman"/>
                <w:kern w:val="0"/>
                <w:szCs w:val="21"/>
              </w:rPr>
              <w:t>156.1</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ascii="Times New Roman" w:hAnsi="Times New Roman" w:cs="Times New Roman"/>
                <w:szCs w:val="21"/>
              </w:rPr>
              <w:t>75</w:t>
            </w:r>
          </w:p>
        </w:tc>
        <w:tc>
          <w:tcPr>
            <w:tcW w:w="906" w:type="pct"/>
            <w:vAlign w:val="bottom"/>
          </w:tcPr>
          <w:p>
            <w:pPr>
              <w:widowControl/>
              <w:jc w:val="center"/>
              <w:textAlignment w:val="bottom"/>
              <w:rPr>
                <w:rFonts w:ascii="Times New Roman" w:hAnsi="Times New Roman" w:cs="Times New Roman"/>
                <w:szCs w:val="21"/>
              </w:rPr>
            </w:pPr>
            <w:r>
              <w:rPr>
                <w:rFonts w:ascii="Times New Roman" w:hAnsi="Times New Roman" w:eastAsia="宋体" w:cs="Times New Roman"/>
                <w:kern w:val="0"/>
                <w:szCs w:val="21"/>
                <w:lang w:bidi="ar"/>
              </w:rPr>
              <w:t>25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kern w:val="0"/>
                <w:szCs w:val="21"/>
              </w:rPr>
              <w:t>281.1</w:t>
            </w:r>
            <w:r>
              <w:rPr>
                <w:rFonts w:hint="eastAsia" w:ascii="Times New Roman" w:hAnsi="Times New Roman" w:cs="Times New Roman"/>
                <w:szCs w:val="21"/>
              </w:rPr>
              <w:t>&gt;</w:t>
            </w:r>
            <w:r>
              <w:rPr>
                <w:rFonts w:ascii="Times New Roman" w:hAnsi="Times New Roman" w:cs="Times New Roman"/>
                <w:szCs w:val="21"/>
              </w:rPr>
              <w:t>108.1</w:t>
            </w:r>
          </w:p>
        </w:tc>
        <w:tc>
          <w:tcPr>
            <w:tcW w:w="783" w:type="pct"/>
            <w:vMerge w:val="continue"/>
            <w:vAlign w:val="center"/>
          </w:tcPr>
          <w:p>
            <w:pPr>
              <w:jc w:val="center"/>
              <w:rPr>
                <w:rFonts w:ascii="Times New Roman" w:hAnsi="Times New Roman" w:cs="Times New Roman"/>
                <w:szCs w:val="21"/>
              </w:rPr>
            </w:pPr>
          </w:p>
        </w:tc>
        <w:tc>
          <w:tcPr>
            <w:tcW w:w="906" w:type="pct"/>
            <w:vAlign w:val="bottom"/>
          </w:tcPr>
          <w:p>
            <w:pPr>
              <w:widowControl/>
              <w:jc w:val="center"/>
              <w:textAlignment w:val="bottom"/>
              <w:rPr>
                <w:rFonts w:ascii="Times New Roman" w:hAnsi="Times New Roman" w:cs="Times New Roman"/>
                <w:szCs w:val="21"/>
              </w:rPr>
            </w:pPr>
            <w:r>
              <w:rPr>
                <w:rFonts w:ascii="Times New Roman" w:hAnsi="Times New Roman" w:eastAsia="宋体" w:cs="Times New Roman"/>
                <w:kern w:val="0"/>
                <w:szCs w:val="21"/>
                <w:lang w:bidi="ar"/>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磺胺噻唑</w:t>
            </w:r>
          </w:p>
          <w:p>
            <w:pPr>
              <w:jc w:val="center"/>
              <w:rPr>
                <w:szCs w:val="21"/>
              </w:rPr>
            </w:pPr>
            <w:r>
              <w:rPr>
                <w:szCs w:val="21"/>
                <w:shd w:val="clear" w:color="auto" w:fill="FFFFFF"/>
              </w:rPr>
              <w:t>sulfathiazole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256.1</w:t>
            </w:r>
            <w:r>
              <w:rPr>
                <w:rFonts w:hint="eastAsia" w:ascii="Times New Roman" w:hAnsi="Times New Roman" w:cs="Times New Roman"/>
                <w:kern w:val="0"/>
                <w:szCs w:val="21"/>
              </w:rPr>
              <w:t>&gt;</w:t>
            </w:r>
            <w:r>
              <w:rPr>
                <w:rFonts w:ascii="Times New Roman" w:hAnsi="Times New Roman" w:cs="Times New Roman"/>
                <w:kern w:val="0"/>
                <w:szCs w:val="21"/>
              </w:rPr>
              <w:t>156</w:t>
            </w:r>
            <w:r>
              <w:rPr>
                <w:rFonts w:hint="eastAsia" w:ascii="Times New Roman" w:hAnsi="Times New Roman" w:cs="Times New Roman"/>
                <w:kern w:val="0"/>
                <w:szCs w:val="21"/>
              </w:rPr>
              <w:t xml:space="preserve">.1 </w:t>
            </w:r>
            <w:r>
              <w:rPr>
                <w:rFonts w:ascii="Times New Roman" w:hAnsi="Times New Roman" w:cs="Times New Roman"/>
                <w:szCs w:val="21"/>
                <w:vertAlign w:val="superscript"/>
              </w:rPr>
              <w:t>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62</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256.1</w:t>
            </w:r>
            <w:r>
              <w:rPr>
                <w:rFonts w:hint="eastAsia" w:ascii="Times New Roman" w:hAnsi="Times New Roman" w:cs="Times New Roman"/>
                <w:szCs w:val="21"/>
              </w:rPr>
              <w:t>&gt;</w:t>
            </w:r>
            <w:r>
              <w:rPr>
                <w:rFonts w:ascii="Times New Roman" w:hAnsi="Times New Roman" w:cs="Times New Roman"/>
                <w:szCs w:val="21"/>
              </w:rPr>
              <w:t>108</w:t>
            </w:r>
            <w:r>
              <w:rPr>
                <w:rFonts w:hint="eastAsia" w:ascii="Times New Roman" w:hAnsi="Times New Roman" w:cs="Times New Roman"/>
                <w:szCs w:val="21"/>
              </w:rPr>
              <w:t>.1</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磺胺间二甲氧嘧啶</w:t>
            </w:r>
          </w:p>
          <w:p>
            <w:pPr>
              <w:jc w:val="center"/>
              <w:rPr>
                <w:szCs w:val="21"/>
              </w:rPr>
            </w:pPr>
            <w:r>
              <w:rPr>
                <w:szCs w:val="21"/>
                <w:shd w:val="clear" w:color="auto" w:fill="FFFFFF"/>
              </w:rPr>
              <w:t>Sulfadimethoxypyrimidine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311.</w:t>
            </w:r>
            <w:r>
              <w:rPr>
                <w:rFonts w:hint="eastAsia" w:ascii="Times New Roman" w:hAnsi="Times New Roman" w:cs="Times New Roman"/>
                <w:kern w:val="0"/>
                <w:szCs w:val="21"/>
              </w:rPr>
              <w:t>2&gt;108</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90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39</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311.</w:t>
            </w:r>
            <w:r>
              <w:rPr>
                <w:rFonts w:hint="eastAsia" w:ascii="Times New Roman" w:hAnsi="Times New Roman" w:cs="Times New Roman"/>
                <w:szCs w:val="21"/>
              </w:rPr>
              <w:t>2&gt;156</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44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磺胺甲噻二唑</w:t>
            </w:r>
          </w:p>
          <w:p>
            <w:pPr>
              <w:jc w:val="center"/>
              <w:rPr>
                <w:szCs w:val="21"/>
              </w:rPr>
            </w:pPr>
            <w:r>
              <w:rPr>
                <w:szCs w:val="21"/>
                <w:shd w:val="clear" w:color="auto" w:fill="FFFFFF"/>
              </w:rPr>
              <w:t>Sulfamethizole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271.1</w:t>
            </w:r>
            <w:r>
              <w:rPr>
                <w:rFonts w:hint="eastAsia" w:ascii="Times New Roman" w:hAnsi="Times New Roman" w:cs="Times New Roman"/>
                <w:kern w:val="0"/>
                <w:szCs w:val="21"/>
              </w:rPr>
              <w:t>&gt;</w:t>
            </w:r>
            <w:r>
              <w:rPr>
                <w:rFonts w:ascii="Times New Roman" w:hAnsi="Times New Roman" w:cs="Times New Roman"/>
                <w:kern w:val="0"/>
                <w:szCs w:val="21"/>
              </w:rPr>
              <w:t>156.1</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40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271.1</w:t>
            </w:r>
            <w:r>
              <w:rPr>
                <w:rFonts w:hint="eastAsia" w:ascii="Times New Roman" w:hAnsi="Times New Roman" w:cs="Times New Roman"/>
                <w:szCs w:val="21"/>
              </w:rPr>
              <w:t>&gt;</w:t>
            </w:r>
            <w:r>
              <w:rPr>
                <w:rFonts w:ascii="Times New Roman" w:hAnsi="Times New Roman" w:cs="Times New Roman"/>
                <w:szCs w:val="21"/>
              </w:rPr>
              <w:t>107.8</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磺胺苯吡唑</w:t>
            </w:r>
          </w:p>
          <w:p>
            <w:pPr>
              <w:jc w:val="center"/>
              <w:rPr>
                <w:szCs w:val="21"/>
              </w:rPr>
            </w:pPr>
            <w:r>
              <w:rPr>
                <w:szCs w:val="21"/>
                <w:shd w:val="clear" w:color="auto" w:fill="FFFFFF"/>
              </w:rPr>
              <w:t>Sulfaphenazolum</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315.0</w:t>
            </w:r>
            <w:r>
              <w:rPr>
                <w:rFonts w:hint="eastAsia" w:ascii="Times New Roman" w:hAnsi="Times New Roman" w:cs="Times New Roman"/>
                <w:kern w:val="0"/>
                <w:szCs w:val="21"/>
              </w:rPr>
              <w:t>&gt;</w:t>
            </w:r>
            <w:r>
              <w:rPr>
                <w:rFonts w:ascii="Times New Roman" w:hAnsi="Times New Roman" w:cs="Times New Roman"/>
                <w:kern w:val="0"/>
                <w:szCs w:val="21"/>
              </w:rPr>
              <w:t>158.0</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90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40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315.0</w:t>
            </w:r>
            <w:r>
              <w:rPr>
                <w:rFonts w:hint="eastAsia" w:ascii="Times New Roman" w:hAnsi="Times New Roman" w:cs="Times New Roman"/>
                <w:szCs w:val="21"/>
              </w:rPr>
              <w:t>&gt;</w:t>
            </w:r>
            <w:r>
              <w:rPr>
                <w:rFonts w:ascii="Times New Roman" w:hAnsi="Times New Roman" w:cs="Times New Roman"/>
                <w:szCs w:val="21"/>
              </w:rPr>
              <w:t>108.0</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40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磺胺脒</w:t>
            </w:r>
          </w:p>
          <w:p>
            <w:pPr>
              <w:jc w:val="center"/>
              <w:rPr>
                <w:szCs w:val="21"/>
              </w:rPr>
            </w:pPr>
            <w:r>
              <w:rPr>
                <w:szCs w:val="21"/>
                <w:shd w:val="clear" w:color="auto" w:fill="FFFFFF"/>
              </w:rPr>
              <w:t>Sulfaguanidine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21</w:t>
            </w:r>
            <w:r>
              <w:rPr>
                <w:rFonts w:hint="eastAsia" w:ascii="Times New Roman" w:hAnsi="Times New Roman" w:cs="Times New Roman"/>
                <w:kern w:val="0"/>
                <w:szCs w:val="21"/>
              </w:rPr>
              <w:t>4.8&gt;155.9</w:t>
            </w:r>
            <w:r>
              <w:rPr>
                <w:rFonts w:ascii="Times New Roman" w:hAnsi="Times New Roman" w:cs="Times New Roman"/>
                <w:szCs w:val="21"/>
                <w:vertAlign w:val="superscript"/>
              </w:rPr>
              <w:t>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60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21</w:t>
            </w:r>
            <w:r>
              <w:rPr>
                <w:rFonts w:hint="eastAsia" w:ascii="Times New Roman" w:hAnsi="Times New Roman" w:cs="Times New Roman"/>
                <w:szCs w:val="21"/>
              </w:rPr>
              <w:t>4.8&gt;108</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磺胺醋酰钠</w:t>
            </w:r>
          </w:p>
          <w:p>
            <w:pPr>
              <w:jc w:val="center"/>
              <w:rPr>
                <w:szCs w:val="21"/>
                <w:highlight w:val="yellow"/>
              </w:rPr>
            </w:pPr>
            <w:r>
              <w:rPr>
                <w:szCs w:val="21"/>
                <w:shd w:val="clear" w:color="auto" w:fill="FFFFFF"/>
              </w:rPr>
              <w:t>Sulfacetamide Sodium</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215.0</w:t>
            </w:r>
            <w:r>
              <w:rPr>
                <w:rFonts w:hint="eastAsia" w:ascii="Times New Roman" w:hAnsi="Times New Roman" w:cs="Times New Roman"/>
                <w:kern w:val="0"/>
                <w:szCs w:val="21"/>
              </w:rPr>
              <w:t>&gt;107.9</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60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215.0</w:t>
            </w:r>
            <w:r>
              <w:rPr>
                <w:rFonts w:hint="eastAsia" w:ascii="Times New Roman" w:hAnsi="Times New Roman" w:cs="Times New Roman"/>
                <w:szCs w:val="21"/>
              </w:rPr>
              <w:t>&gt;156.0</w:t>
            </w:r>
            <w:r>
              <w:rPr>
                <w:rFonts w:ascii="Times New Roman" w:hAnsi="Times New Roman" w:cs="Times New Roman"/>
                <w:szCs w:val="21"/>
                <w:vertAlign w:val="superscript"/>
              </w:rPr>
              <w:t xml:space="preserve"> a</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15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磺胺邻二甲氧嘧啶</w:t>
            </w:r>
          </w:p>
          <w:p>
            <w:pPr>
              <w:jc w:val="center"/>
              <w:rPr>
                <w:szCs w:val="21"/>
              </w:rPr>
            </w:pPr>
            <w:r>
              <w:rPr>
                <w:szCs w:val="21"/>
                <w:shd w:val="clear" w:color="auto" w:fill="FFFFFF"/>
              </w:rPr>
              <w:t>sulfadimoxine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311.1</w:t>
            </w:r>
            <w:r>
              <w:rPr>
                <w:rFonts w:hint="eastAsia" w:ascii="Times New Roman" w:hAnsi="Times New Roman" w:cs="Times New Roman"/>
                <w:kern w:val="0"/>
                <w:szCs w:val="21"/>
              </w:rPr>
              <w:t>&gt;155.9</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120</w:t>
            </w: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311.1</w:t>
            </w:r>
            <w:r>
              <w:rPr>
                <w:rFonts w:hint="eastAsia" w:ascii="Times New Roman" w:hAnsi="Times New Roman" w:cs="Times New Roman"/>
                <w:szCs w:val="21"/>
              </w:rPr>
              <w:t>&gt;</w:t>
            </w:r>
            <w:r>
              <w:rPr>
                <w:rFonts w:ascii="Times New Roman" w:hAnsi="Times New Roman" w:cs="Times New Roman"/>
                <w:szCs w:val="21"/>
              </w:rPr>
              <w:t>108</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磺胺喹噁啉</w:t>
            </w:r>
          </w:p>
          <w:p>
            <w:pPr>
              <w:jc w:val="center"/>
              <w:rPr>
                <w:szCs w:val="21"/>
              </w:rPr>
            </w:pPr>
            <w:r>
              <w:rPr>
                <w:szCs w:val="21"/>
                <w:shd w:val="clear" w:color="auto" w:fill="FFFFFF"/>
              </w:rPr>
              <w:t>Sulfaquinoxaline</w:t>
            </w:r>
          </w:p>
        </w:tc>
        <w:tc>
          <w:tcPr>
            <w:tcW w:w="1111" w:type="pct"/>
            <w:vAlign w:val="center"/>
          </w:tcPr>
          <w:p>
            <w:pPr>
              <w:widowControl/>
              <w:jc w:val="center"/>
              <w:textAlignment w:val="center"/>
              <w:rPr>
                <w:rFonts w:ascii="Times New Roman" w:hAnsi="Times New Roman" w:cs="Times New Roman"/>
                <w:szCs w:val="21"/>
              </w:rPr>
            </w:pPr>
            <w:r>
              <w:rPr>
                <w:rFonts w:ascii="Times New Roman" w:hAnsi="Times New Roman" w:cs="Times New Roman"/>
                <w:kern w:val="0"/>
                <w:szCs w:val="21"/>
              </w:rPr>
              <w:t>301.0</w:t>
            </w:r>
            <w:r>
              <w:rPr>
                <w:rFonts w:hint="eastAsia" w:ascii="Times New Roman" w:hAnsi="Times New Roman" w:cs="Times New Roman"/>
                <w:kern w:val="0"/>
                <w:szCs w:val="21"/>
              </w:rPr>
              <w:t>&gt;</w:t>
            </w:r>
            <w:r>
              <w:rPr>
                <w:rFonts w:ascii="Times New Roman" w:hAnsi="Times New Roman" w:cs="Times New Roman"/>
                <w:kern w:val="0"/>
                <w:szCs w:val="21"/>
              </w:rPr>
              <w:t>156.1</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73</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301.0</w:t>
            </w:r>
            <w:r>
              <w:rPr>
                <w:rFonts w:hint="eastAsia" w:ascii="Times New Roman" w:hAnsi="Times New Roman" w:cs="Times New Roman"/>
                <w:szCs w:val="21"/>
              </w:rPr>
              <w:t>&gt;</w:t>
            </w:r>
            <w:r>
              <w:rPr>
                <w:rFonts w:ascii="Times New Roman" w:hAnsi="Times New Roman" w:cs="Times New Roman"/>
                <w:szCs w:val="21"/>
              </w:rPr>
              <w:t>108</w:t>
            </w:r>
            <w:r>
              <w:rPr>
                <w:rFonts w:hint="eastAsia" w:ascii="Times New Roman" w:hAnsi="Times New Roman" w:cs="Times New Roman"/>
                <w:szCs w:val="21"/>
              </w:rPr>
              <w:t>.1</w:t>
            </w:r>
          </w:p>
        </w:tc>
        <w:tc>
          <w:tcPr>
            <w:tcW w:w="783" w:type="pct"/>
            <w:vMerge w:val="continue"/>
            <w:tcBorders>
              <w:bottom w:val="single" w:color="auto" w:sz="4" w:space="0"/>
            </w:tcBorders>
            <w:vAlign w:val="center"/>
          </w:tcPr>
          <w:p>
            <w:pPr>
              <w:jc w:val="center"/>
              <w:rPr>
                <w:rFonts w:ascii="Times New Roman" w:hAnsi="Times New Roman" w:cs="Times New Roman"/>
                <w:szCs w:val="21"/>
              </w:rPr>
            </w:pPr>
          </w:p>
        </w:tc>
        <w:tc>
          <w:tcPr>
            <w:tcW w:w="906" w:type="pct"/>
            <w:tcBorders>
              <w:bottom w:val="single" w:color="auto" w:sz="4" w:space="0"/>
            </w:tcBorders>
            <w:vAlign w:val="center"/>
          </w:tcPr>
          <w:p>
            <w:pPr>
              <w:jc w:val="center"/>
              <w:rPr>
                <w:rFonts w:ascii="Times New Roman" w:hAnsi="Times New Roman" w:cs="Times New Roman"/>
                <w:szCs w:val="21"/>
              </w:rPr>
            </w:pPr>
            <w:r>
              <w:rPr>
                <w:rFonts w:hint="eastAsia" w:ascii="Times New Roman" w:hAnsi="Times New Roman" w:cs="Times New Roman"/>
                <w:szCs w:val="21"/>
              </w:rPr>
              <w:t>37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restart"/>
            <w:tcBorders>
              <w:top w:val="single" w:color="000000" w:sz="4" w:space="0"/>
            </w:tcBorders>
            <w:vAlign w:val="center"/>
          </w:tcPr>
          <w:p>
            <w:pPr>
              <w:jc w:val="center"/>
              <w:rPr>
                <w:szCs w:val="21"/>
              </w:rPr>
            </w:pPr>
            <w:r>
              <w:rPr>
                <w:rFonts w:hint="eastAsia" w:ascii="Times New Roman" w:hAnsi="Times New Roman" w:eastAsia="宋体" w:cs="Times New Roman"/>
                <w:szCs w:val="21"/>
              </w:rPr>
              <w:t>喹诺酮类</w:t>
            </w:r>
          </w:p>
          <w:p>
            <w:pPr>
              <w:jc w:val="center"/>
              <w:rPr>
                <w:szCs w:val="21"/>
              </w:rPr>
            </w:pPr>
          </w:p>
        </w:tc>
        <w:tc>
          <w:tcPr>
            <w:tcW w:w="1691" w:type="pct"/>
            <w:vMerge w:val="restart"/>
            <w:tcBorders>
              <w:top w:val="single" w:color="000000" w:sz="4" w:space="0"/>
            </w:tcBorders>
            <w:vAlign w:val="center"/>
          </w:tcPr>
          <w:p>
            <w:pPr>
              <w:jc w:val="center"/>
              <w:rPr>
                <w:szCs w:val="21"/>
              </w:rPr>
            </w:pPr>
            <w:r>
              <w:rPr>
                <w:szCs w:val="21"/>
              </w:rPr>
              <w:t>诺氟沙星</w:t>
            </w:r>
          </w:p>
          <w:p>
            <w:pPr>
              <w:jc w:val="center"/>
              <w:rPr>
                <w:szCs w:val="21"/>
              </w:rPr>
            </w:pPr>
            <w:r>
              <w:rPr>
                <w:szCs w:val="21"/>
                <w:shd w:val="clear" w:color="auto" w:fill="FFFFFF"/>
              </w:rPr>
              <w:t>Norfloxacin</w:t>
            </w:r>
          </w:p>
        </w:tc>
        <w:tc>
          <w:tcPr>
            <w:tcW w:w="1111" w:type="pct"/>
            <w:tcBorders>
              <w:top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320.1</w:t>
            </w:r>
            <w:r>
              <w:rPr>
                <w:rFonts w:hint="eastAsia" w:ascii="Times New Roman" w:hAnsi="Times New Roman" w:cs="Times New Roman"/>
                <w:szCs w:val="21"/>
              </w:rPr>
              <w:t>&gt;</w:t>
            </w:r>
            <w:r>
              <w:rPr>
                <w:rFonts w:ascii="Times New Roman" w:hAnsi="Times New Roman" w:cs="Times New Roman"/>
                <w:szCs w:val="21"/>
              </w:rPr>
              <w:t>302.2</w:t>
            </w:r>
            <w:r>
              <w:rPr>
                <w:rFonts w:ascii="Times New Roman" w:hAnsi="Times New Roman" w:cs="Times New Roman"/>
                <w:szCs w:val="21"/>
                <w:vertAlign w:val="superscript"/>
              </w:rPr>
              <w:t xml:space="preserve"> a</w:t>
            </w:r>
          </w:p>
        </w:tc>
        <w:tc>
          <w:tcPr>
            <w:tcW w:w="783" w:type="pct"/>
            <w:vMerge w:val="restart"/>
            <w:tcBorders>
              <w:top w:val="single" w:color="auto" w:sz="4" w:space="0"/>
              <w:bottom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100</w:t>
            </w:r>
          </w:p>
        </w:tc>
        <w:tc>
          <w:tcPr>
            <w:tcW w:w="906" w:type="pct"/>
            <w:tcBorders>
              <w:top w:val="single" w:color="auto" w:sz="4" w:space="0"/>
              <w:bottom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29</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320.1</w:t>
            </w:r>
            <w:r>
              <w:rPr>
                <w:rFonts w:hint="eastAsia" w:ascii="Times New Roman" w:hAnsi="Times New Roman" w:cs="Times New Roman"/>
                <w:szCs w:val="21"/>
              </w:rPr>
              <w:t>&gt;276</w:t>
            </w:r>
          </w:p>
        </w:tc>
        <w:tc>
          <w:tcPr>
            <w:tcW w:w="783" w:type="pct"/>
            <w:vMerge w:val="continue"/>
            <w:tcBorders>
              <w:top w:val="nil"/>
            </w:tcBorders>
            <w:vAlign w:val="center"/>
          </w:tcPr>
          <w:p>
            <w:pPr>
              <w:jc w:val="center"/>
              <w:rPr>
                <w:rFonts w:ascii="Times New Roman" w:hAnsi="Times New Roman" w:cs="Times New Roman"/>
                <w:szCs w:val="21"/>
              </w:rPr>
            </w:pPr>
          </w:p>
        </w:tc>
        <w:tc>
          <w:tcPr>
            <w:tcW w:w="906" w:type="pct"/>
            <w:tcBorders>
              <w:top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氟罗沙星</w:t>
            </w:r>
          </w:p>
          <w:p>
            <w:pPr>
              <w:jc w:val="center"/>
              <w:rPr>
                <w:szCs w:val="21"/>
              </w:rPr>
            </w:pPr>
            <w:r>
              <w:rPr>
                <w:szCs w:val="21"/>
                <w:shd w:val="clear" w:color="auto" w:fill="FFFFFF"/>
              </w:rPr>
              <w:t>Fleroxacin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370.3</w:t>
            </w:r>
            <w:r>
              <w:rPr>
                <w:rFonts w:hint="eastAsia" w:ascii="Times New Roman" w:hAnsi="Times New Roman" w:cs="Times New Roman"/>
                <w:szCs w:val="21"/>
              </w:rPr>
              <w:t>&gt;</w:t>
            </w:r>
            <w:r>
              <w:rPr>
                <w:rFonts w:ascii="Times New Roman" w:hAnsi="Times New Roman" w:cs="Times New Roman"/>
                <w:szCs w:val="21"/>
              </w:rPr>
              <w:t>326.4</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117</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370.3</w:t>
            </w:r>
            <w:r>
              <w:rPr>
                <w:rFonts w:hint="eastAsia" w:ascii="Times New Roman" w:hAnsi="Times New Roman" w:cs="Times New Roman"/>
                <w:szCs w:val="21"/>
              </w:rPr>
              <w:t>&gt;269.1</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司帕沙星</w:t>
            </w:r>
          </w:p>
          <w:p>
            <w:pPr>
              <w:jc w:val="center"/>
              <w:rPr>
                <w:szCs w:val="21"/>
              </w:rPr>
            </w:pPr>
            <w:r>
              <w:rPr>
                <w:szCs w:val="21"/>
              </w:rPr>
              <w:t>Sparfloxacin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393.4</w:t>
            </w:r>
            <w:r>
              <w:rPr>
                <w:rFonts w:hint="eastAsia" w:ascii="Times New Roman" w:hAnsi="Times New Roman" w:cs="Times New Roman"/>
                <w:szCs w:val="21"/>
              </w:rPr>
              <w:t>&gt;</w:t>
            </w:r>
            <w:r>
              <w:rPr>
                <w:rFonts w:ascii="Times New Roman" w:hAnsi="Times New Roman" w:cs="Times New Roman"/>
                <w:szCs w:val="21"/>
              </w:rPr>
              <w:t>292.</w:t>
            </w:r>
            <w:r>
              <w:rPr>
                <w:rFonts w:hint="eastAsia" w:ascii="Times New Roman" w:hAnsi="Times New Roman" w:cs="Times New Roman"/>
                <w:szCs w:val="21"/>
              </w:rPr>
              <w:t>2</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74</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393.4</w:t>
            </w:r>
            <w:r>
              <w:rPr>
                <w:rFonts w:hint="eastAsia" w:ascii="Times New Roman" w:hAnsi="Times New Roman" w:cs="Times New Roman"/>
                <w:szCs w:val="21"/>
              </w:rPr>
              <w:t>&gt;</w:t>
            </w:r>
            <w:r>
              <w:rPr>
                <w:rFonts w:ascii="Times New Roman" w:hAnsi="Times New Roman" w:cs="Times New Roman"/>
                <w:szCs w:val="21"/>
              </w:rPr>
              <w:t>349.2</w:t>
            </w:r>
            <w:r>
              <w:rPr>
                <w:rFonts w:ascii="Times New Roman" w:hAnsi="Times New Roman" w:cs="Times New Roman"/>
                <w:szCs w:val="21"/>
                <w:vertAlign w:val="superscript"/>
              </w:rPr>
              <w:t xml:space="preserve"> a</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29</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奥比沙星</w:t>
            </w:r>
          </w:p>
          <w:p>
            <w:pPr>
              <w:jc w:val="center"/>
              <w:rPr>
                <w:szCs w:val="21"/>
              </w:rPr>
            </w:pPr>
            <w:r>
              <w:rPr>
                <w:szCs w:val="21"/>
                <w:shd w:val="clear" w:color="auto" w:fill="FFFFFF"/>
              </w:rPr>
              <w:t>Orbifloxacin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396.4</w:t>
            </w:r>
            <w:r>
              <w:rPr>
                <w:rFonts w:hint="eastAsia" w:ascii="Times New Roman" w:hAnsi="Times New Roman" w:cs="Times New Roman"/>
                <w:szCs w:val="21"/>
              </w:rPr>
              <w:t>&gt;</w:t>
            </w:r>
            <w:r>
              <w:rPr>
                <w:rFonts w:ascii="Times New Roman" w:hAnsi="Times New Roman" w:cs="Times New Roman"/>
                <w:szCs w:val="21"/>
              </w:rPr>
              <w:t>295.2</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90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396.4</w:t>
            </w:r>
            <w:r>
              <w:rPr>
                <w:rFonts w:hint="eastAsia" w:ascii="Times New Roman" w:hAnsi="Times New Roman" w:cs="Times New Roman"/>
                <w:szCs w:val="21"/>
              </w:rPr>
              <w:t>&gt;352.0</w:t>
            </w:r>
            <w:r>
              <w:rPr>
                <w:rFonts w:ascii="Times New Roman" w:hAnsi="Times New Roman" w:cs="Times New Roman"/>
                <w:szCs w:val="21"/>
                <w:vertAlign w:val="superscript"/>
              </w:rPr>
              <w:t>a</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恩诺沙星</w:t>
            </w:r>
          </w:p>
          <w:p>
            <w:pPr>
              <w:jc w:val="center"/>
              <w:rPr>
                <w:szCs w:val="21"/>
              </w:rPr>
            </w:pPr>
            <w:r>
              <w:rPr>
                <w:szCs w:val="21"/>
                <w:shd w:val="clear" w:color="auto" w:fill="FFFFFF"/>
              </w:rPr>
              <w:t>Enrofloxacin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360.1</w:t>
            </w:r>
            <w:r>
              <w:rPr>
                <w:rFonts w:hint="eastAsia" w:ascii="Times New Roman" w:hAnsi="Times New Roman" w:cs="Times New Roman"/>
                <w:szCs w:val="21"/>
              </w:rPr>
              <w:t>&gt;</w:t>
            </w:r>
            <w:r>
              <w:rPr>
                <w:rFonts w:ascii="Times New Roman" w:hAnsi="Times New Roman" w:cs="Times New Roman"/>
                <w:szCs w:val="21"/>
              </w:rPr>
              <w:t>342.5</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120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360.1</w:t>
            </w:r>
            <w:r>
              <w:rPr>
                <w:rFonts w:hint="eastAsia" w:ascii="Times New Roman" w:hAnsi="Times New Roman" w:cs="Times New Roman"/>
                <w:szCs w:val="21"/>
              </w:rPr>
              <w:t>&gt;</w:t>
            </w:r>
            <w:r>
              <w:rPr>
                <w:rFonts w:ascii="Times New Roman" w:hAnsi="Times New Roman" w:cs="Times New Roman"/>
                <w:szCs w:val="21"/>
              </w:rPr>
              <w:t>316.0</w:t>
            </w:r>
            <w:r>
              <w:rPr>
                <w:rFonts w:ascii="Times New Roman" w:hAnsi="Times New Roman" w:cs="Times New Roman"/>
                <w:szCs w:val="21"/>
                <w:vertAlign w:val="superscript"/>
              </w:rPr>
              <w:t xml:space="preserve"> a</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达氟沙星</w:t>
            </w:r>
          </w:p>
          <w:p>
            <w:pPr>
              <w:jc w:val="center"/>
              <w:rPr>
                <w:szCs w:val="21"/>
              </w:rPr>
            </w:pPr>
            <w:r>
              <w:rPr>
                <w:szCs w:val="21"/>
                <w:shd w:val="clear" w:color="auto" w:fill="FFFFFF"/>
              </w:rPr>
              <w:t>Danofloxacin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358.3</w:t>
            </w:r>
            <w:r>
              <w:rPr>
                <w:rFonts w:hint="eastAsia" w:ascii="Times New Roman" w:hAnsi="Times New Roman" w:cs="Times New Roman"/>
                <w:szCs w:val="21"/>
              </w:rPr>
              <w:t>&gt;</w:t>
            </w:r>
            <w:r>
              <w:rPr>
                <w:rFonts w:ascii="Times New Roman" w:hAnsi="Times New Roman" w:cs="Times New Roman"/>
                <w:szCs w:val="21"/>
              </w:rPr>
              <w:t>340.3</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ascii="Times New Roman" w:hAnsi="Times New Roman" w:cs="Times New Roman"/>
                <w:szCs w:val="21"/>
              </w:rPr>
              <w:t>80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358.3</w:t>
            </w:r>
            <w:r>
              <w:rPr>
                <w:rFonts w:hint="eastAsia" w:ascii="Times New Roman" w:hAnsi="Times New Roman" w:cs="Times New Roman"/>
                <w:szCs w:val="21"/>
              </w:rPr>
              <w:t>&gt;314.1</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培氟沙星</w:t>
            </w:r>
          </w:p>
          <w:p>
            <w:pPr>
              <w:jc w:val="center"/>
              <w:rPr>
                <w:szCs w:val="21"/>
              </w:rPr>
            </w:pPr>
            <w:r>
              <w:rPr>
                <w:szCs w:val="21"/>
                <w:shd w:val="clear" w:color="auto" w:fill="FFFFFF"/>
              </w:rPr>
              <w:t>Pefloxacin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334.3</w:t>
            </w:r>
            <w:r>
              <w:rPr>
                <w:rFonts w:hint="eastAsia" w:ascii="Times New Roman" w:hAnsi="Times New Roman" w:cs="Times New Roman"/>
                <w:szCs w:val="21"/>
              </w:rPr>
              <w:t>&gt;</w:t>
            </w:r>
            <w:r>
              <w:rPr>
                <w:rFonts w:ascii="Times New Roman" w:hAnsi="Times New Roman" w:cs="Times New Roman"/>
                <w:szCs w:val="21"/>
              </w:rPr>
              <w:t>290.3</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94</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334.3</w:t>
            </w:r>
            <w:r>
              <w:rPr>
                <w:rFonts w:hint="eastAsia" w:ascii="Times New Roman" w:hAnsi="Times New Roman" w:cs="Times New Roman"/>
                <w:szCs w:val="21"/>
              </w:rPr>
              <w:t>&gt;</w:t>
            </w:r>
            <w:r>
              <w:rPr>
                <w:rFonts w:ascii="Times New Roman" w:hAnsi="Times New Roman" w:cs="Times New Roman"/>
                <w:szCs w:val="21"/>
              </w:rPr>
              <w:t>233.4</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41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二氟沙星</w:t>
            </w:r>
          </w:p>
          <w:p>
            <w:pPr>
              <w:jc w:val="center"/>
              <w:rPr>
                <w:szCs w:val="21"/>
              </w:rPr>
            </w:pPr>
            <w:r>
              <w:rPr>
                <w:szCs w:val="21"/>
                <w:shd w:val="clear" w:color="auto" w:fill="FAFAFA"/>
              </w:rPr>
              <w:t xml:space="preserve">Difluoxacin </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400.2</w:t>
            </w:r>
            <w:r>
              <w:rPr>
                <w:rFonts w:hint="eastAsia" w:ascii="Times New Roman" w:hAnsi="Times New Roman" w:cs="Times New Roman"/>
                <w:szCs w:val="21"/>
              </w:rPr>
              <w:t>&gt;</w:t>
            </w:r>
            <w:r>
              <w:rPr>
                <w:rFonts w:ascii="Times New Roman" w:hAnsi="Times New Roman" w:cs="Times New Roman"/>
                <w:szCs w:val="21"/>
              </w:rPr>
              <w:t>356.3</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ascii="Times New Roman" w:hAnsi="Times New Roman" w:cs="Times New Roman"/>
                <w:szCs w:val="21"/>
              </w:rPr>
              <w:t>70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31</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shd w:val="clear" w:color="auto" w:fill="FFFFFF"/>
              </w:rPr>
              <w:t>400.2</w:t>
            </w:r>
            <w:r>
              <w:rPr>
                <w:rFonts w:hint="eastAsia" w:ascii="Times New Roman" w:hAnsi="Times New Roman" w:cs="Times New Roman"/>
                <w:szCs w:val="21"/>
                <w:shd w:val="clear" w:color="auto" w:fill="FFFFFF"/>
              </w:rPr>
              <w:t>&gt;</w:t>
            </w:r>
            <w:r>
              <w:rPr>
                <w:rFonts w:ascii="Times New Roman" w:hAnsi="Times New Roman" w:cs="Times New Roman"/>
                <w:szCs w:val="21"/>
                <w:shd w:val="clear" w:color="auto" w:fill="FFFFFF"/>
              </w:rPr>
              <w:t>299.5</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36</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环丙沙星</w:t>
            </w:r>
          </w:p>
          <w:p>
            <w:pPr>
              <w:jc w:val="center"/>
              <w:rPr>
                <w:szCs w:val="21"/>
              </w:rPr>
            </w:pPr>
            <w:r>
              <w:rPr>
                <w:szCs w:val="21"/>
                <w:shd w:val="clear" w:color="auto" w:fill="FFFFFF"/>
              </w:rPr>
              <w:t>Ciprofloxacin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332.1</w:t>
            </w:r>
            <w:r>
              <w:rPr>
                <w:rFonts w:hint="eastAsia" w:ascii="Times New Roman" w:hAnsi="Times New Roman" w:cs="Times New Roman"/>
                <w:szCs w:val="21"/>
              </w:rPr>
              <w:t>&gt;</w:t>
            </w:r>
            <w:r>
              <w:rPr>
                <w:rFonts w:ascii="Times New Roman" w:hAnsi="Times New Roman" w:cs="Times New Roman"/>
                <w:szCs w:val="21"/>
              </w:rPr>
              <w:t>314.</w:t>
            </w:r>
            <w:r>
              <w:rPr>
                <w:rFonts w:hint="eastAsia" w:ascii="Times New Roman" w:hAnsi="Times New Roman" w:cs="Times New Roman"/>
                <w:szCs w:val="21"/>
              </w:rPr>
              <w:t>0</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110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shd w:val="clear" w:color="auto" w:fill="FFFFFF"/>
              </w:rPr>
              <w:t>332.1</w:t>
            </w:r>
            <w:r>
              <w:rPr>
                <w:rFonts w:hint="eastAsia" w:ascii="Times New Roman" w:hAnsi="Times New Roman" w:cs="Times New Roman"/>
                <w:szCs w:val="21"/>
                <w:shd w:val="clear" w:color="auto" w:fill="FFFFFF"/>
              </w:rPr>
              <w:t>&gt;288.0</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沙拉沙星</w:t>
            </w:r>
          </w:p>
          <w:p>
            <w:pPr>
              <w:jc w:val="center"/>
              <w:rPr>
                <w:szCs w:val="21"/>
              </w:rPr>
            </w:pPr>
            <w:r>
              <w:rPr>
                <w:szCs w:val="21"/>
                <w:shd w:val="clear" w:color="auto" w:fill="FFFFFF"/>
              </w:rPr>
              <w:t>Sarafloxacin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386.1</w:t>
            </w:r>
            <w:r>
              <w:rPr>
                <w:rFonts w:hint="eastAsia" w:ascii="Times New Roman" w:hAnsi="Times New Roman" w:cs="Times New Roman"/>
                <w:szCs w:val="21"/>
              </w:rPr>
              <w:t>&gt;</w:t>
            </w:r>
            <w:r>
              <w:rPr>
                <w:rFonts w:ascii="Times New Roman" w:hAnsi="Times New Roman" w:cs="Times New Roman"/>
                <w:szCs w:val="21"/>
              </w:rPr>
              <w:t>368.</w:t>
            </w:r>
            <w:r>
              <w:rPr>
                <w:rFonts w:hint="eastAsia" w:ascii="Times New Roman" w:hAnsi="Times New Roman" w:cs="Times New Roman"/>
                <w:szCs w:val="21"/>
              </w:rPr>
              <w:t>1</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7</w:t>
            </w:r>
            <w:r>
              <w:rPr>
                <w:rFonts w:ascii="Times New Roman" w:hAnsi="Times New Roman" w:cs="Times New Roman"/>
                <w:szCs w:val="21"/>
              </w:rPr>
              <w:t>0</w:t>
            </w: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shd w:val="clear" w:color="auto" w:fill="FFFFFF"/>
              </w:rPr>
              <w:t>386.1</w:t>
            </w:r>
            <w:r>
              <w:rPr>
                <w:rFonts w:hint="eastAsia" w:ascii="Times New Roman" w:hAnsi="Times New Roman" w:cs="Times New Roman"/>
                <w:szCs w:val="21"/>
                <w:shd w:val="clear" w:color="auto" w:fill="FFFFFF"/>
              </w:rPr>
              <w:t>&gt;342.2</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洛美沙星</w:t>
            </w:r>
          </w:p>
          <w:p>
            <w:pPr>
              <w:jc w:val="center"/>
              <w:rPr>
                <w:szCs w:val="21"/>
              </w:rPr>
            </w:pPr>
            <w:r>
              <w:rPr>
                <w:szCs w:val="21"/>
                <w:shd w:val="clear" w:color="auto" w:fill="FAFAFA"/>
              </w:rPr>
              <w:t>Lomefloxacin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352.2</w:t>
            </w:r>
            <w:r>
              <w:rPr>
                <w:rFonts w:hint="eastAsia" w:ascii="Times New Roman" w:hAnsi="Times New Roman" w:cs="Times New Roman"/>
                <w:szCs w:val="21"/>
              </w:rPr>
              <w:t>&gt;</w:t>
            </w:r>
            <w:r>
              <w:rPr>
                <w:rFonts w:ascii="Times New Roman" w:hAnsi="Times New Roman" w:cs="Times New Roman"/>
                <w:szCs w:val="21"/>
              </w:rPr>
              <w:t>265.5</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80</w:t>
            </w: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shd w:val="clear" w:color="auto" w:fill="FAFAFA"/>
              </w:rPr>
              <w:t>352.2</w:t>
            </w:r>
            <w:r>
              <w:rPr>
                <w:rFonts w:hint="eastAsia" w:ascii="Times New Roman" w:hAnsi="Times New Roman" w:cs="Times New Roman"/>
                <w:szCs w:val="21"/>
                <w:shd w:val="clear" w:color="auto" w:fill="FAFAFA"/>
              </w:rPr>
              <w:t>&gt;</w:t>
            </w:r>
            <w:r>
              <w:rPr>
                <w:rFonts w:ascii="Times New Roman" w:hAnsi="Times New Roman" w:cs="Times New Roman"/>
                <w:szCs w:val="21"/>
                <w:shd w:val="clear" w:color="auto" w:fill="FAFAFA"/>
              </w:rPr>
              <w:t>334.6</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氧氟沙星</w:t>
            </w:r>
          </w:p>
          <w:p>
            <w:pPr>
              <w:jc w:val="center"/>
              <w:rPr>
                <w:szCs w:val="21"/>
              </w:rPr>
            </w:pPr>
            <w:r>
              <w:rPr>
                <w:szCs w:val="21"/>
                <w:shd w:val="clear" w:color="auto" w:fill="FFFFFF"/>
              </w:rPr>
              <w:t>Ofloxacin</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362.5</w:t>
            </w:r>
            <w:r>
              <w:rPr>
                <w:rFonts w:hint="eastAsia" w:ascii="Times New Roman" w:hAnsi="Times New Roman" w:cs="Times New Roman"/>
                <w:szCs w:val="21"/>
              </w:rPr>
              <w:t>&gt;</w:t>
            </w:r>
            <w:r>
              <w:rPr>
                <w:rFonts w:ascii="Times New Roman" w:hAnsi="Times New Roman" w:cs="Times New Roman"/>
                <w:szCs w:val="21"/>
              </w:rPr>
              <w:t>261.4</w:t>
            </w:r>
            <w:r>
              <w:rPr>
                <w:rFonts w:ascii="Times New Roman" w:hAnsi="Times New Roman" w:cs="Times New Roman"/>
                <w:szCs w:val="21"/>
                <w:vertAlign w:val="superscript"/>
              </w:rPr>
              <w:t xml:space="preserve"> </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112</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38</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362.5</w:t>
            </w:r>
            <w:r>
              <w:rPr>
                <w:rFonts w:hint="eastAsia" w:ascii="Times New Roman" w:hAnsi="Times New Roman" w:cs="Times New Roman"/>
                <w:szCs w:val="21"/>
              </w:rPr>
              <w:t>&gt;</w:t>
            </w:r>
            <w:r>
              <w:rPr>
                <w:rFonts w:ascii="Times New Roman" w:hAnsi="Times New Roman" w:cs="Times New Roman"/>
                <w:szCs w:val="21"/>
              </w:rPr>
              <w:t>318.</w:t>
            </w:r>
            <w:r>
              <w:rPr>
                <w:rFonts w:hint="eastAsia" w:ascii="Times New Roman" w:hAnsi="Times New Roman" w:cs="Times New Roman"/>
                <w:szCs w:val="21"/>
              </w:rPr>
              <w:t>2</w:t>
            </w:r>
            <w:r>
              <w:rPr>
                <w:rFonts w:ascii="Times New Roman" w:hAnsi="Times New Roman" w:cs="Times New Roman"/>
                <w:szCs w:val="21"/>
                <w:vertAlign w:val="superscript"/>
              </w:rPr>
              <w:t xml:space="preserve"> a</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氟甲喹</w:t>
            </w:r>
          </w:p>
          <w:p>
            <w:pPr>
              <w:jc w:val="center"/>
              <w:rPr>
                <w:szCs w:val="21"/>
              </w:rPr>
            </w:pPr>
            <w:r>
              <w:rPr>
                <w:szCs w:val="21"/>
                <w:shd w:val="clear" w:color="auto" w:fill="FFFFFF"/>
              </w:rPr>
              <w:t>Flumequine</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262.0</w:t>
            </w:r>
            <w:r>
              <w:rPr>
                <w:rFonts w:hint="eastAsia" w:ascii="Times New Roman" w:hAnsi="Times New Roman" w:cs="Times New Roman"/>
                <w:szCs w:val="21"/>
              </w:rPr>
              <w:t>&gt;</w:t>
            </w:r>
            <w:r>
              <w:rPr>
                <w:rFonts w:ascii="Times New Roman" w:hAnsi="Times New Roman" w:cs="Times New Roman"/>
                <w:szCs w:val="21"/>
              </w:rPr>
              <w:t>202.0</w:t>
            </w:r>
            <w:r>
              <w:rPr>
                <w:rFonts w:ascii="Times New Roman" w:hAnsi="Times New Roman" w:cs="Times New Roman"/>
                <w:szCs w:val="21"/>
                <w:vertAlign w:val="superscript"/>
              </w:rPr>
              <w:t xml:space="preserve"> </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85</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45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shd w:val="clear" w:color="auto" w:fill="FFFFFF"/>
              </w:rPr>
              <w:t>262.0</w:t>
            </w:r>
            <w:r>
              <w:rPr>
                <w:rFonts w:hint="eastAsia" w:ascii="Times New Roman" w:hAnsi="Times New Roman" w:cs="Times New Roman"/>
                <w:szCs w:val="21"/>
                <w:shd w:val="clear" w:color="auto" w:fill="FFFFFF"/>
              </w:rPr>
              <w:t>&gt;</w:t>
            </w:r>
            <w:r>
              <w:rPr>
                <w:rFonts w:ascii="Times New Roman" w:hAnsi="Times New Roman" w:cs="Times New Roman"/>
                <w:szCs w:val="21"/>
                <w:shd w:val="clear" w:color="auto" w:fill="FFFFFF"/>
              </w:rPr>
              <w:t>244.2</w:t>
            </w:r>
            <w:r>
              <w:rPr>
                <w:rFonts w:ascii="Times New Roman" w:hAnsi="Times New Roman" w:cs="Times New Roman"/>
                <w:szCs w:val="21"/>
                <w:vertAlign w:val="superscript"/>
              </w:rPr>
              <w:t xml:space="preserve"> a</w:t>
            </w:r>
          </w:p>
        </w:tc>
        <w:tc>
          <w:tcPr>
            <w:tcW w:w="783" w:type="pct"/>
            <w:vMerge w:val="continue"/>
            <w:tcBorders>
              <w:bottom w:val="nil"/>
            </w:tcBorders>
            <w:vAlign w:val="center"/>
          </w:tcPr>
          <w:p>
            <w:pPr>
              <w:jc w:val="center"/>
              <w:rPr>
                <w:rFonts w:ascii="Times New Roman" w:hAnsi="Times New Roman" w:cs="Times New Roman"/>
                <w:szCs w:val="21"/>
              </w:rPr>
            </w:pPr>
          </w:p>
        </w:tc>
        <w:tc>
          <w:tcPr>
            <w:tcW w:w="906" w:type="pct"/>
            <w:tcBorders>
              <w:bottom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40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 w:val="24"/>
              </w:rPr>
              <w:t>恶喹酸</w:t>
            </w:r>
          </w:p>
          <w:p>
            <w:pPr>
              <w:jc w:val="center"/>
              <w:rPr>
                <w:szCs w:val="21"/>
              </w:rPr>
            </w:pPr>
            <w:r>
              <w:rPr>
                <w:szCs w:val="21"/>
                <w:shd w:val="clear" w:color="auto" w:fill="FFFFFF"/>
              </w:rPr>
              <w:t>Oxolinic Acid</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262.2</w:t>
            </w:r>
            <w:r>
              <w:rPr>
                <w:rFonts w:hint="eastAsia" w:ascii="Times New Roman" w:hAnsi="Times New Roman" w:cs="Times New Roman"/>
                <w:szCs w:val="21"/>
              </w:rPr>
              <w:t>&gt;</w:t>
            </w:r>
            <w:r>
              <w:rPr>
                <w:rFonts w:ascii="Times New Roman" w:hAnsi="Times New Roman" w:cs="Times New Roman"/>
                <w:szCs w:val="21"/>
              </w:rPr>
              <w:t>216.1</w:t>
            </w:r>
            <w:r>
              <w:rPr>
                <w:rFonts w:ascii="Times New Roman" w:hAnsi="Times New Roman" w:cs="Times New Roman"/>
                <w:szCs w:val="21"/>
                <w:vertAlign w:val="superscript"/>
              </w:rPr>
              <w:t xml:space="preserve"> a</w:t>
            </w:r>
          </w:p>
        </w:tc>
        <w:tc>
          <w:tcPr>
            <w:tcW w:w="783" w:type="pct"/>
            <w:vMerge w:val="restart"/>
            <w:tcBorders>
              <w:top w:val="nil"/>
              <w:bottom w:val="nil"/>
              <w:right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90</w:t>
            </w:r>
          </w:p>
        </w:tc>
        <w:tc>
          <w:tcPr>
            <w:tcW w:w="906" w:type="pct"/>
            <w:tcBorders>
              <w:top w:val="nil"/>
              <w:left w:val="nil"/>
              <w:bottom w:val="nil"/>
              <w:right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33</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shd w:val="clear" w:color="auto" w:fill="FFFFFF"/>
              </w:rPr>
              <w:t>262.2</w:t>
            </w:r>
            <w:r>
              <w:rPr>
                <w:rFonts w:hint="eastAsia" w:ascii="Times New Roman" w:hAnsi="Times New Roman" w:cs="Times New Roman"/>
                <w:szCs w:val="21"/>
                <w:shd w:val="clear" w:color="auto" w:fill="FFFFFF"/>
              </w:rPr>
              <w:t>&gt;</w:t>
            </w:r>
            <w:r>
              <w:rPr>
                <w:rFonts w:ascii="Times New Roman" w:hAnsi="Times New Roman" w:cs="Times New Roman"/>
                <w:szCs w:val="21"/>
                <w:shd w:val="clear" w:color="auto" w:fill="FFFFFF"/>
              </w:rPr>
              <w:t>244.2</w:t>
            </w:r>
            <w:r>
              <w:rPr>
                <w:rFonts w:ascii="Times New Roman" w:hAnsi="Times New Roman" w:cs="Times New Roman"/>
                <w:szCs w:val="21"/>
                <w:vertAlign w:val="superscript"/>
              </w:rPr>
              <w:t xml:space="preserve"> </w:t>
            </w:r>
          </w:p>
        </w:tc>
        <w:tc>
          <w:tcPr>
            <w:tcW w:w="783" w:type="pct"/>
            <w:vMerge w:val="continue"/>
            <w:tcBorders>
              <w:top w:val="nil"/>
              <w:bottom w:val="single" w:color="auto" w:sz="4" w:space="0"/>
              <w:right w:val="nil"/>
            </w:tcBorders>
            <w:vAlign w:val="center"/>
          </w:tcPr>
          <w:p>
            <w:pPr>
              <w:jc w:val="center"/>
              <w:rPr>
                <w:rFonts w:ascii="Times New Roman" w:hAnsi="Times New Roman" w:cs="Times New Roman"/>
                <w:szCs w:val="21"/>
              </w:rPr>
            </w:pPr>
          </w:p>
        </w:tc>
        <w:tc>
          <w:tcPr>
            <w:tcW w:w="906" w:type="pct"/>
            <w:tcBorders>
              <w:top w:val="nil"/>
              <w:left w:val="nil"/>
              <w:bottom w:val="single" w:color="auto" w:sz="4" w:space="0"/>
              <w:right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restart"/>
            <w:tcBorders>
              <w:top w:val="single" w:color="000000" w:sz="4" w:space="0"/>
            </w:tcBorders>
            <w:vAlign w:val="center"/>
          </w:tcPr>
          <w:p>
            <w:pPr>
              <w:jc w:val="center"/>
              <w:rPr>
                <w:szCs w:val="21"/>
              </w:rPr>
            </w:pPr>
            <w:r>
              <w:rPr>
                <w:rFonts w:hint="eastAsia" w:ascii="Times New Roman" w:hAnsi="Times New Roman" w:eastAsia="宋体" w:cs="Times New Roman"/>
                <w:szCs w:val="21"/>
              </w:rPr>
              <w:t>四环素类</w:t>
            </w:r>
          </w:p>
          <w:p>
            <w:pPr>
              <w:jc w:val="center"/>
              <w:rPr>
                <w:szCs w:val="21"/>
              </w:rPr>
            </w:pPr>
          </w:p>
        </w:tc>
        <w:tc>
          <w:tcPr>
            <w:tcW w:w="1691" w:type="pct"/>
            <w:vMerge w:val="restart"/>
            <w:tcBorders>
              <w:top w:val="single" w:color="000000" w:sz="4" w:space="0"/>
            </w:tcBorders>
            <w:vAlign w:val="center"/>
          </w:tcPr>
          <w:p>
            <w:pPr>
              <w:jc w:val="center"/>
              <w:rPr>
                <w:szCs w:val="21"/>
              </w:rPr>
            </w:pPr>
            <w:r>
              <w:rPr>
                <w:szCs w:val="21"/>
              </w:rPr>
              <w:t>四环素</w:t>
            </w:r>
          </w:p>
          <w:p>
            <w:pPr>
              <w:jc w:val="center"/>
              <w:rPr>
                <w:szCs w:val="21"/>
              </w:rPr>
            </w:pPr>
            <w:r>
              <w:rPr>
                <w:szCs w:val="21"/>
                <w:shd w:val="clear" w:color="auto" w:fill="FFFFFF"/>
              </w:rPr>
              <w:t>Tetracycline</w:t>
            </w:r>
          </w:p>
        </w:tc>
        <w:tc>
          <w:tcPr>
            <w:tcW w:w="1111" w:type="pct"/>
            <w:tcBorders>
              <w:top w:val="single" w:color="000000" w:sz="4" w:space="0"/>
            </w:tcBorders>
            <w:vAlign w:val="center"/>
          </w:tcPr>
          <w:p>
            <w:pPr>
              <w:jc w:val="center"/>
              <w:rPr>
                <w:rFonts w:ascii="Times New Roman" w:hAnsi="Times New Roman" w:cs="Times New Roman"/>
                <w:szCs w:val="21"/>
              </w:rPr>
            </w:pPr>
            <w:r>
              <w:rPr>
                <w:rFonts w:ascii="Times New Roman" w:hAnsi="Times New Roman" w:cs="Times New Roman"/>
                <w:szCs w:val="21"/>
              </w:rPr>
              <w:t>445.</w:t>
            </w:r>
            <w:r>
              <w:rPr>
                <w:rFonts w:hint="eastAsia" w:ascii="Times New Roman" w:hAnsi="Times New Roman" w:cs="Times New Roman"/>
                <w:szCs w:val="21"/>
              </w:rPr>
              <w:t>1&gt;</w:t>
            </w:r>
            <w:r>
              <w:rPr>
                <w:rFonts w:ascii="Times New Roman" w:hAnsi="Times New Roman" w:cs="Times New Roman"/>
                <w:szCs w:val="21"/>
              </w:rPr>
              <w:t>410.1</w:t>
            </w:r>
            <w:r>
              <w:rPr>
                <w:rFonts w:ascii="Times New Roman" w:hAnsi="Times New Roman" w:cs="Times New Roman"/>
                <w:szCs w:val="21"/>
                <w:vertAlign w:val="superscript"/>
              </w:rPr>
              <w:t xml:space="preserve"> a</w:t>
            </w:r>
          </w:p>
        </w:tc>
        <w:tc>
          <w:tcPr>
            <w:tcW w:w="783" w:type="pct"/>
            <w:vMerge w:val="restart"/>
            <w:tcBorders>
              <w:top w:val="single" w:color="auto" w:sz="4" w:space="0"/>
              <w:bottom w:val="nil"/>
              <w:right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90</w:t>
            </w:r>
          </w:p>
        </w:tc>
        <w:tc>
          <w:tcPr>
            <w:tcW w:w="906" w:type="pct"/>
            <w:tcBorders>
              <w:top w:val="single" w:color="auto" w:sz="4" w:space="0"/>
              <w:left w:val="nil"/>
              <w:bottom w:val="nil"/>
              <w:right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445.</w:t>
            </w:r>
            <w:r>
              <w:rPr>
                <w:rFonts w:hint="eastAsia" w:ascii="Times New Roman" w:hAnsi="Times New Roman" w:cs="Times New Roman"/>
                <w:szCs w:val="21"/>
              </w:rPr>
              <w:t>1&gt;</w:t>
            </w:r>
            <w:r>
              <w:rPr>
                <w:rFonts w:ascii="Times New Roman" w:hAnsi="Times New Roman" w:cs="Times New Roman"/>
                <w:szCs w:val="21"/>
              </w:rPr>
              <w:t>427.7</w:t>
            </w:r>
          </w:p>
        </w:tc>
        <w:tc>
          <w:tcPr>
            <w:tcW w:w="783" w:type="pct"/>
            <w:vMerge w:val="continue"/>
            <w:tcBorders>
              <w:top w:val="nil"/>
            </w:tcBorders>
            <w:vAlign w:val="center"/>
          </w:tcPr>
          <w:p>
            <w:pPr>
              <w:jc w:val="center"/>
              <w:rPr>
                <w:rFonts w:ascii="Times New Roman" w:hAnsi="Times New Roman" w:cs="Times New Roman"/>
                <w:szCs w:val="21"/>
              </w:rPr>
            </w:pPr>
          </w:p>
        </w:tc>
        <w:tc>
          <w:tcPr>
            <w:tcW w:w="906" w:type="pct"/>
            <w:tcBorders>
              <w:top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土霉素</w:t>
            </w:r>
          </w:p>
          <w:p>
            <w:pPr>
              <w:jc w:val="center"/>
              <w:rPr>
                <w:szCs w:val="21"/>
              </w:rPr>
            </w:pPr>
            <w:r>
              <w:rPr>
                <w:szCs w:val="21"/>
                <w:shd w:val="clear" w:color="auto" w:fill="FFFFFF"/>
              </w:rPr>
              <w:t>Oxytetracycline</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461.0</w:t>
            </w:r>
            <w:r>
              <w:rPr>
                <w:rFonts w:hint="eastAsia" w:ascii="Times New Roman" w:hAnsi="Times New Roman" w:cs="Times New Roman"/>
                <w:szCs w:val="21"/>
              </w:rPr>
              <w:t>&gt;</w:t>
            </w:r>
            <w:r>
              <w:rPr>
                <w:rFonts w:ascii="Times New Roman" w:hAnsi="Times New Roman" w:cs="Times New Roman"/>
                <w:szCs w:val="21"/>
              </w:rPr>
              <w:t>426.3</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110</w:t>
            </w: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28</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461.0</w:t>
            </w:r>
            <w:r>
              <w:rPr>
                <w:rFonts w:hint="eastAsia" w:ascii="Times New Roman" w:hAnsi="Times New Roman" w:cs="Times New Roman"/>
                <w:szCs w:val="21"/>
              </w:rPr>
              <w:t>&gt;</w:t>
            </w:r>
            <w:r>
              <w:rPr>
                <w:rFonts w:ascii="Times New Roman" w:hAnsi="Times New Roman" w:cs="Times New Roman"/>
                <w:szCs w:val="21"/>
              </w:rPr>
              <w:t>44</w:t>
            </w:r>
            <w:r>
              <w:rPr>
                <w:rFonts w:hint="eastAsia" w:ascii="Times New Roman" w:hAnsi="Times New Roman" w:cs="Times New Roman"/>
                <w:szCs w:val="21"/>
              </w:rPr>
              <w:t>3.0</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19</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金霉素</w:t>
            </w:r>
          </w:p>
          <w:p>
            <w:pPr>
              <w:jc w:val="center"/>
              <w:rPr>
                <w:szCs w:val="21"/>
              </w:rPr>
            </w:pPr>
            <w:r>
              <w:rPr>
                <w:szCs w:val="21"/>
                <w:shd w:val="clear" w:color="auto" w:fill="FFFFFF"/>
              </w:rPr>
              <w:t>Chlortetracycline</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479.1</w:t>
            </w:r>
            <w:r>
              <w:rPr>
                <w:rFonts w:hint="eastAsia" w:ascii="Times New Roman" w:hAnsi="Times New Roman" w:cs="Times New Roman"/>
                <w:szCs w:val="21"/>
              </w:rPr>
              <w:t>&gt;</w:t>
            </w:r>
            <w:r>
              <w:rPr>
                <w:rFonts w:ascii="Times New Roman" w:hAnsi="Times New Roman" w:cs="Times New Roman"/>
                <w:szCs w:val="21"/>
              </w:rPr>
              <w:t>443.9</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120</w:t>
            </w: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30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479.1</w:t>
            </w:r>
            <w:r>
              <w:rPr>
                <w:rFonts w:hint="eastAsia" w:ascii="Times New Roman" w:hAnsi="Times New Roman" w:cs="Times New Roman"/>
                <w:szCs w:val="21"/>
              </w:rPr>
              <w:t>&gt;</w:t>
            </w:r>
            <w:r>
              <w:rPr>
                <w:rFonts w:ascii="Times New Roman" w:hAnsi="Times New Roman" w:cs="Times New Roman"/>
                <w:szCs w:val="21"/>
              </w:rPr>
              <w:t>462.</w:t>
            </w:r>
            <w:r>
              <w:rPr>
                <w:rFonts w:hint="eastAsia" w:ascii="Times New Roman" w:hAnsi="Times New Roman" w:cs="Times New Roman"/>
                <w:szCs w:val="21"/>
              </w:rPr>
              <w:t>0</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ascii="Times New Roman" w:hAnsi="Times New Roman" w:cs="Times New Roman"/>
                <w:szCs w:val="21"/>
              </w:rPr>
              <w:t>25</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rPr>
                <w:szCs w:val="21"/>
              </w:rPr>
            </w:pPr>
          </w:p>
        </w:tc>
        <w:tc>
          <w:tcPr>
            <w:tcW w:w="1691" w:type="pct"/>
            <w:vMerge w:val="restart"/>
            <w:vAlign w:val="center"/>
          </w:tcPr>
          <w:p>
            <w:pPr>
              <w:jc w:val="center"/>
              <w:rPr>
                <w:szCs w:val="21"/>
              </w:rPr>
            </w:pPr>
            <w:r>
              <w:rPr>
                <w:szCs w:val="21"/>
              </w:rPr>
              <w:t>多西环素</w:t>
            </w:r>
          </w:p>
          <w:p>
            <w:pPr>
              <w:jc w:val="center"/>
              <w:rPr>
                <w:szCs w:val="21"/>
              </w:rPr>
            </w:pPr>
            <w:r>
              <w:rPr>
                <w:szCs w:val="21"/>
                <w:shd w:val="clear" w:color="auto" w:fill="FFFFFF"/>
              </w:rPr>
              <w:t xml:space="preserve">Doxycycline </w:t>
            </w: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445.</w:t>
            </w:r>
            <w:r>
              <w:rPr>
                <w:rFonts w:hint="eastAsia" w:ascii="Times New Roman" w:hAnsi="Times New Roman" w:cs="Times New Roman"/>
                <w:szCs w:val="21"/>
              </w:rPr>
              <w:t>4&gt;</w:t>
            </w:r>
            <w:r>
              <w:rPr>
                <w:rFonts w:ascii="Times New Roman" w:hAnsi="Times New Roman" w:cs="Times New Roman"/>
                <w:szCs w:val="21"/>
              </w:rPr>
              <w:t>427.6</w:t>
            </w:r>
            <w:r>
              <w:rPr>
                <w:rFonts w:ascii="Times New Roman" w:hAnsi="Times New Roman" w:cs="Times New Roman"/>
                <w:szCs w:val="21"/>
                <w:vertAlign w:val="superscript"/>
              </w:rPr>
              <w:t xml:space="preserve"> a</w:t>
            </w:r>
          </w:p>
        </w:tc>
        <w:tc>
          <w:tcPr>
            <w:tcW w:w="783" w:type="pct"/>
            <w:vMerge w:val="restart"/>
            <w:vAlign w:val="center"/>
          </w:tcPr>
          <w:p>
            <w:pPr>
              <w:jc w:val="center"/>
              <w:rPr>
                <w:rFonts w:ascii="Times New Roman" w:hAnsi="Times New Roman" w:cs="Times New Roman"/>
                <w:szCs w:val="21"/>
              </w:rPr>
            </w:pPr>
            <w:r>
              <w:rPr>
                <w:rFonts w:hint="eastAsia" w:ascii="Times New Roman" w:hAnsi="Times New Roman" w:cs="Times New Roman"/>
                <w:szCs w:val="21"/>
              </w:rPr>
              <w:t>90</w:t>
            </w: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27</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509" w:type="pct"/>
            <w:vMerge w:val="continue"/>
            <w:vAlign w:val="center"/>
          </w:tcPr>
          <w:p>
            <w:pPr>
              <w:jc w:val="center"/>
            </w:pPr>
          </w:p>
        </w:tc>
        <w:tc>
          <w:tcPr>
            <w:tcW w:w="1691" w:type="pct"/>
            <w:vMerge w:val="continue"/>
            <w:vAlign w:val="center"/>
          </w:tcPr>
          <w:p>
            <w:pPr>
              <w:jc w:val="center"/>
            </w:pPr>
          </w:p>
        </w:tc>
        <w:tc>
          <w:tcPr>
            <w:tcW w:w="1111" w:type="pct"/>
            <w:vAlign w:val="center"/>
          </w:tcPr>
          <w:p>
            <w:pPr>
              <w:jc w:val="center"/>
              <w:rPr>
                <w:rFonts w:ascii="Times New Roman" w:hAnsi="Times New Roman" w:cs="Times New Roman"/>
                <w:szCs w:val="21"/>
              </w:rPr>
            </w:pPr>
            <w:r>
              <w:rPr>
                <w:rFonts w:ascii="Times New Roman" w:hAnsi="Times New Roman" w:cs="Times New Roman"/>
                <w:szCs w:val="21"/>
              </w:rPr>
              <w:t>445</w:t>
            </w:r>
            <w:r>
              <w:rPr>
                <w:rFonts w:hint="eastAsia" w:ascii="Times New Roman" w:hAnsi="Times New Roman" w:cs="Times New Roman"/>
                <w:szCs w:val="21"/>
              </w:rPr>
              <w:t>.4&gt;</w:t>
            </w:r>
            <w:r>
              <w:rPr>
                <w:rFonts w:ascii="Times New Roman" w:hAnsi="Times New Roman" w:cs="Times New Roman"/>
                <w:szCs w:val="21"/>
              </w:rPr>
              <w:t>410.3</w:t>
            </w:r>
          </w:p>
        </w:tc>
        <w:tc>
          <w:tcPr>
            <w:tcW w:w="783" w:type="pct"/>
            <w:vMerge w:val="continue"/>
            <w:vAlign w:val="center"/>
          </w:tcPr>
          <w:p>
            <w:pPr>
              <w:jc w:val="center"/>
              <w:rPr>
                <w:rFonts w:ascii="Times New Roman" w:hAnsi="Times New Roman" w:cs="Times New Roman"/>
                <w:szCs w:val="21"/>
              </w:rPr>
            </w:pPr>
          </w:p>
        </w:tc>
        <w:tc>
          <w:tcPr>
            <w:tcW w:w="906" w:type="pct"/>
            <w:vAlign w:val="center"/>
          </w:tcPr>
          <w:p>
            <w:pPr>
              <w:jc w:val="center"/>
              <w:rPr>
                <w:rFonts w:ascii="Times New Roman" w:hAnsi="Times New Roman" w:cs="Times New Roman"/>
                <w:szCs w:val="21"/>
              </w:rPr>
            </w:pPr>
            <w:r>
              <w:rPr>
                <w:rFonts w:hint="eastAsia" w:ascii="Times New Roman" w:hAnsi="Times New Roman" w:cs="Times New Roman"/>
                <w:szCs w:val="21"/>
              </w:rPr>
              <w:t>29</w:t>
            </w:r>
          </w:p>
        </w:tc>
      </w:tr>
    </w:tbl>
    <w:p>
      <w:pPr>
        <w:pStyle w:val="8"/>
        <w:widowControl/>
        <w:ind w:firstLine="420" w:firstLineChars="200"/>
        <w:rPr>
          <w:rFonts w:ascii="Times New Roman" w:hAnsi="Times New Roman" w:eastAsia="宋体"/>
          <w:kern w:val="2"/>
          <w:sz w:val="21"/>
        </w:rPr>
      </w:pPr>
      <w:r>
        <w:rPr>
          <w:rFonts w:hint="eastAsia" w:ascii="Times New Roman" w:hAnsi="Times New Roman" w:eastAsia="宋体"/>
          <w:kern w:val="2"/>
          <w:sz w:val="21"/>
        </w:rPr>
        <w:t>在优化检测参数条件下可检出四环素类、磺胺类和喹诺酮类33种药物典型色谱图见图1，各类药品全部检出。</w:t>
      </w:r>
    </w:p>
    <w:p>
      <w:pPr>
        <w:pStyle w:val="8"/>
        <w:widowControl/>
        <w:spacing w:line="360" w:lineRule="auto"/>
        <w:jc w:val="center"/>
        <w:rPr>
          <w:rFonts w:ascii="Times New Roman" w:hAnsi="Times New Roman"/>
        </w:rPr>
      </w:pPr>
      <w:r>
        <w:rPr>
          <w:rFonts w:ascii="Times New Roman" w:hAnsi="Times New Roman"/>
        </w:rPr>
        <w:drawing>
          <wp:inline distT="0" distB="0" distL="0" distR="0">
            <wp:extent cx="5227955" cy="261112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27955" cy="2611120"/>
                    </a:xfrm>
                    <a:prstGeom prst="rect">
                      <a:avLst/>
                    </a:prstGeom>
                    <a:noFill/>
                    <a:ln>
                      <a:noFill/>
                    </a:ln>
                  </pic:spPr>
                </pic:pic>
              </a:graphicData>
            </a:graphic>
          </wp:inline>
        </w:drawing>
      </w:r>
    </w:p>
    <w:p>
      <w:pPr>
        <w:pStyle w:val="8"/>
        <w:widowControl/>
        <w:spacing w:line="360" w:lineRule="auto"/>
        <w:rPr>
          <w:rFonts w:ascii="Times New Roman" w:hAnsi="Times New Roman" w:eastAsia="宋体"/>
          <w:szCs w:val="21"/>
        </w:rPr>
      </w:pPr>
      <w:r>
        <w:rPr>
          <w:rFonts w:hint="eastAsia" w:ascii="Times New Roman" w:hAnsi="Times New Roman" w:eastAsia="宋体"/>
          <w:sz w:val="21"/>
          <w:szCs w:val="21"/>
        </w:rPr>
        <w:t xml:space="preserve">图1  </w:t>
      </w:r>
      <w:r>
        <w:rPr>
          <w:rFonts w:hint="eastAsia" w:ascii="Times New Roman" w:hAnsi="Times New Roman" w:eastAsia="宋体"/>
          <w:sz w:val="21"/>
          <w:szCs w:val="18"/>
        </w:rPr>
        <w:t>四环素类、磺胺类和喹诺酮类</w:t>
      </w:r>
      <w:r>
        <w:rPr>
          <w:rFonts w:hint="eastAsia" w:ascii="Times New Roman" w:hAnsi="Times New Roman" w:eastAsia="宋体"/>
          <w:sz w:val="21"/>
          <w:szCs w:val="21"/>
        </w:rPr>
        <w:t>33种</w:t>
      </w:r>
      <w:r>
        <w:rPr>
          <w:rFonts w:hint="eastAsia" w:ascii="Times New Roman" w:hAnsi="Times New Roman" w:eastAsia="宋体"/>
          <w:sz w:val="21"/>
          <w:szCs w:val="18"/>
        </w:rPr>
        <w:t>药物</w:t>
      </w:r>
      <w:r>
        <w:rPr>
          <w:rFonts w:hint="eastAsia" w:ascii="Times New Roman" w:hAnsi="Times New Roman" w:eastAsia="宋体"/>
          <w:sz w:val="21"/>
          <w:szCs w:val="21"/>
        </w:rPr>
        <w:t>一级全扫描提取色谱图（50</w:t>
      </w:r>
      <w:r>
        <w:rPr>
          <w:rFonts w:ascii="Times New Roman" w:hAnsi="Times New Roman" w:eastAsia="宋体"/>
          <w:sz w:val="21"/>
          <w:szCs w:val="21"/>
        </w:rPr>
        <w:t xml:space="preserve"> </w:t>
      </w:r>
      <w:r>
        <w:rPr>
          <w:rFonts w:hint="eastAsia" w:ascii="Times New Roman" w:hAnsi="Times New Roman" w:eastAsia="宋体"/>
          <w:sz w:val="21"/>
          <w:szCs w:val="21"/>
        </w:rPr>
        <w:t>ng/mL）</w:t>
      </w:r>
    </w:p>
    <w:p>
      <w:pPr>
        <w:spacing w:line="480" w:lineRule="auto"/>
        <w:rPr>
          <w:rFonts w:ascii="Times New Roman" w:hAnsi="Times New Roman" w:eastAsia="宋体" w:cs="Times New Roman"/>
          <w:b/>
          <w:bCs/>
          <w:sz w:val="24"/>
        </w:rPr>
      </w:pPr>
      <w:bookmarkStart w:id="2" w:name="_Hlk535607520"/>
      <w:bookmarkEnd w:id="2"/>
      <w:r>
        <w:rPr>
          <w:rFonts w:ascii="Times New Roman" w:hAnsi="Times New Roman" w:eastAsia="宋体" w:cs="Times New Roman"/>
          <w:b/>
          <w:bCs/>
          <w:sz w:val="24"/>
        </w:rPr>
        <w:t>3.</w:t>
      </w:r>
      <w:r>
        <w:rPr>
          <w:rFonts w:hint="eastAsia" w:ascii="Times New Roman" w:hAnsi="Times New Roman" w:eastAsia="宋体" w:cs="Times New Roman"/>
          <w:b/>
          <w:bCs/>
          <w:sz w:val="24"/>
        </w:rPr>
        <w:t>2</w:t>
      </w:r>
      <w:r>
        <w:rPr>
          <w:rFonts w:ascii="Times New Roman" w:hAnsi="Times New Roman" w:eastAsia="宋体" w:cs="Times New Roman"/>
          <w:b/>
          <w:bCs/>
          <w:sz w:val="24"/>
        </w:rPr>
        <w:t>.1.3 提取与净化条件优化</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由于药物种类众多，因此提取和净化步骤在前处理方法中就显示出尤为重要的角色。多种兽药及违禁药物在污水中的筛查方法及净化方法不同，其检测出的药物种类和回收率范围有所差异。针对养殖场污水样品，本实验比对了三种提取及净化条件。提取与净化条件优化基质选用养殖场污水，具体方法与结果如下。</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方法一：取2 mL样品置于50 mL离心管中，加入2 mL EDTA-McIIvaine提取缓冲液，涡旋混匀1 min，加入8 mL乙腈，涡旋混匀后超声提取15 min，10, 000 r/min，4℃条件下离心10 min，取全部上层清液于50 mL离心管中加入萃取盐包，涡旋混匀1 min，静置10 min盐析分层，10, 000 r/min，4℃条件下离心10 min，取5 mL上层清液于15 mL离心管中。取一份净化盐包加入上述上层清液，涡旋 混匀1 min，在10, 000 r/min，4°C条件下离心5 min，取4 mL上清液在40 ℃水浴条件下氮吹至吹干，用80%甲醇水溶液定容至1 mL，过针筒式滤膜过滤器，供液相色谱-串联质谱分析测定。</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方法二：取2 mL样品置于50 mL离心管中，加入2 mL EDTA-McIIvaine提取缓冲液，涡旋混匀1 min，加入8 mL乙腈/甲醇（3/1，v/v）混合液，涡旋混匀后超声提取15 min，10, 000 r/min，4℃条件下离心10 min，取全部上层清液于50 mL离心管中加入萃取盐包，涡旋混匀1 min，静置10 min盐析分层，10, 000 r/min，4℃条件下离心10 min，取5 mL上层清液于15 mL离心管中。取一份净化盐包加入上述上层清液，涡旋混匀1 min，在10, 000 r/min，4°C条件下离心5 min，取4 mL上清液在40 ℃水浴条件下氮吹至吹干，用80%甲醇水溶液定容至1 mL，过针筒式滤膜过滤器，供液相色谱-串联质谱分析测定。</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方法三：取2 mL样品置于50 mL离心管中，加入4 mL EDTA-McIIvaine提取缓冲液，涡旋混匀1 min，加入8 mL乙腈/甲醇（3/1，v/v）混合液，涡旋混匀后超声提取15 min，10, 000 r/min，4℃条件下离心10 min，取全部上层清液于50 mL离心管中加入萃取盐包，涡旋混匀1 min，静置10 min盐析分层，10, 000 r/min，4℃条件下离心10 min，取5 mL上层清液于15 mL离心管中。取一份净化盐包加入上述上层清液，涡旋混匀1 min，在10, 000 r/min，4°C条件下离心5 min，取4 mL上清液在40 ℃水浴条件下氮吹至吹干，用80%甲醇水溶液定容至1 mL，过针筒式滤膜过滤器，供液相色谱-串联质谱分析测定。</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33种抗生素药物分别通过三种方法提取后回收率结果如图2所示，其中方法一中，磺胺类药物的回收较差，而方法三中部分喹诺酮类药物及四环素类药物的回收率相比方法二有所降低。因此，结合上述实验结果，方法二作为本实验最终的提取及净化方法。</w:t>
      </w:r>
    </w:p>
    <w:p>
      <w:pPr>
        <w:spacing w:line="360" w:lineRule="auto"/>
        <w:ind w:left="-424" w:leftChars="-202"/>
        <w:rPr>
          <w:rFonts w:ascii="Times New Roman" w:hAnsi="Times New Roman" w:eastAsia="宋体" w:cs="Times New Roman"/>
        </w:rPr>
      </w:pPr>
      <w:r>
        <w:rPr>
          <w:rFonts w:hint="eastAsia" w:ascii="Times New Roman" w:hAnsi="Times New Roman" w:cs="Times New Roman"/>
        </w:rPr>
        <w:t xml:space="preserve">        </w:t>
      </w:r>
      <w:r>
        <w:rPr>
          <w:rFonts w:ascii="Times New Roman" w:hAnsi="Times New Roman" w:cs="Times New Roman"/>
        </w:rPr>
        <w:drawing>
          <wp:inline distT="0" distB="0" distL="0" distR="0">
            <wp:extent cx="4679950" cy="2648585"/>
            <wp:effectExtent l="4445" t="4445" r="20955" b="1397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pPr>
        <w:spacing w:line="360" w:lineRule="auto"/>
        <w:jc w:val="center"/>
        <w:rPr>
          <w:rFonts w:ascii="Times New Roman" w:hAnsi="Times New Roman" w:eastAsia="宋体" w:cs="Times New Roman"/>
        </w:rPr>
      </w:pPr>
      <w:r>
        <w:rPr>
          <w:rFonts w:ascii="Times New Roman" w:hAnsi="Times New Roman" w:eastAsia="宋体" w:cs="Times New Roman"/>
        </w:rPr>
        <w:t>图2  养殖场污水在不同提取及净化方法下药物回收率分布图</w:t>
      </w:r>
    </w:p>
    <w:p>
      <w:pPr>
        <w:spacing w:line="480" w:lineRule="auto"/>
        <w:rPr>
          <w:rFonts w:ascii="Times New Roman" w:hAnsi="Times New Roman" w:eastAsia="宋体" w:cs="Times New Roman"/>
          <w:b/>
          <w:bCs/>
        </w:rPr>
      </w:pPr>
    </w:p>
    <w:p>
      <w:pPr>
        <w:spacing w:line="480" w:lineRule="auto"/>
        <w:rPr>
          <w:rFonts w:ascii="Times New Roman" w:hAnsi="Times New Roman" w:eastAsia="宋体" w:cs="Times New Roman"/>
          <w:b/>
          <w:bCs/>
          <w:sz w:val="24"/>
        </w:rPr>
      </w:pPr>
      <w:r>
        <w:rPr>
          <w:rFonts w:ascii="Times New Roman" w:hAnsi="Times New Roman" w:eastAsia="宋体" w:cs="Times New Roman"/>
          <w:b/>
          <w:bCs/>
          <w:sz w:val="24"/>
        </w:rPr>
        <w:t>3.</w:t>
      </w:r>
      <w:r>
        <w:rPr>
          <w:rFonts w:hint="eastAsia" w:ascii="Times New Roman" w:hAnsi="Times New Roman" w:eastAsia="宋体" w:cs="Times New Roman"/>
          <w:b/>
          <w:bCs/>
          <w:sz w:val="24"/>
        </w:rPr>
        <w:t>2</w:t>
      </w:r>
      <w:r>
        <w:rPr>
          <w:rFonts w:ascii="Times New Roman" w:hAnsi="Times New Roman" w:eastAsia="宋体" w:cs="Times New Roman"/>
          <w:b/>
          <w:bCs/>
          <w:sz w:val="24"/>
        </w:rPr>
        <w:t>.1.4基质效应</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基质效应MES是在利用UPLC-MS/MS离子源分析复杂药物时相当重要的影响因素。共流出或共提取的其他杂质在ESI离子源竞相离子化，从而导致目标检测物离子化效果的抑制或者增强，从而表现出基质抑制或者基质增强的现象。本实验不同基质每种目标物的基质效应结果如图3所示，MEs值介于0.85和1.15之间认为无明显的基质效应，大于1.15表明是基质增强，小于0.85表明是基质抑制。</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 xml:space="preserve">基质效应（MES）是根据纯标准溶液与基质标准溶液的响应强度进行评估，考察某水平下，标准溶液的响应强度S </w:t>
      </w:r>
      <w:r>
        <w:rPr>
          <w:rFonts w:ascii="Times New Roman" w:hAnsi="Times New Roman" w:eastAsia="宋体" w:cs="Times New Roman"/>
          <w:vertAlign w:val="subscript"/>
        </w:rPr>
        <w:t>solvent</w:t>
      </w:r>
      <w:r>
        <w:rPr>
          <w:rFonts w:ascii="Times New Roman" w:hAnsi="Times New Roman" w:eastAsia="宋体" w:cs="Times New Roman"/>
        </w:rPr>
        <w:t xml:space="preserve">和同条件下基质标准溶液的响应强度S </w:t>
      </w:r>
      <w:r>
        <w:rPr>
          <w:rFonts w:ascii="Times New Roman" w:hAnsi="Times New Roman" w:eastAsia="宋体" w:cs="Times New Roman"/>
          <w:vertAlign w:val="subscript"/>
        </w:rPr>
        <w:t>matrix</w:t>
      </w:r>
      <w:r>
        <w:rPr>
          <w:rFonts w:ascii="Times New Roman" w:hAnsi="Times New Roman" w:eastAsia="宋体" w:cs="Times New Roman"/>
        </w:rPr>
        <w:t xml:space="preserve">的关系，具体公式如下：ME%=(S </w:t>
      </w:r>
      <w:r>
        <w:rPr>
          <w:rFonts w:ascii="Times New Roman" w:hAnsi="Times New Roman" w:eastAsia="宋体" w:cs="Times New Roman"/>
          <w:vertAlign w:val="subscript"/>
        </w:rPr>
        <w:t>matrix</w:t>
      </w:r>
      <w:r>
        <w:rPr>
          <w:rFonts w:ascii="Times New Roman" w:hAnsi="Times New Roman" w:eastAsia="宋体" w:cs="Times New Roman"/>
        </w:rPr>
        <w:t xml:space="preserve">-S </w:t>
      </w:r>
      <w:r>
        <w:rPr>
          <w:rFonts w:ascii="Times New Roman" w:hAnsi="Times New Roman" w:eastAsia="宋体" w:cs="Times New Roman"/>
          <w:vertAlign w:val="subscript"/>
        </w:rPr>
        <w:t>blank</w:t>
      </w:r>
      <w:r>
        <w:rPr>
          <w:rFonts w:ascii="Times New Roman" w:hAnsi="Times New Roman" w:eastAsia="宋体" w:cs="Times New Roman"/>
        </w:rPr>
        <w:t xml:space="preserve">)/S </w:t>
      </w:r>
      <w:r>
        <w:rPr>
          <w:rFonts w:ascii="Times New Roman" w:hAnsi="Times New Roman" w:eastAsia="宋体" w:cs="Times New Roman"/>
          <w:vertAlign w:val="subscript"/>
        </w:rPr>
        <w:t>solvent</w:t>
      </w:r>
      <w:r>
        <w:rPr>
          <w:rFonts w:ascii="Times New Roman" w:hAnsi="Times New Roman" w:eastAsia="宋体" w:cs="Times New Roman"/>
        </w:rPr>
        <w:t xml:space="preserve">，其中，S </w:t>
      </w:r>
      <w:r>
        <w:rPr>
          <w:rFonts w:ascii="Times New Roman" w:hAnsi="Times New Roman" w:eastAsia="宋体" w:cs="Times New Roman"/>
          <w:vertAlign w:val="subscript"/>
        </w:rPr>
        <w:t>blank</w:t>
      </w:r>
      <w:r>
        <w:rPr>
          <w:rFonts w:ascii="Times New Roman" w:hAnsi="Times New Roman" w:eastAsia="宋体" w:cs="Times New Roman"/>
        </w:rPr>
        <w:t>为空白基质提取液的响应强度。本实验通过测定100 μg/kg标准品溶液和养殖场污水100 μg/kg基质匹配标准溶液比较对目标物响应值的影响，来确定基质对目标物的有无基质效应。结果如图3。</w:t>
      </w:r>
    </w:p>
    <w:p>
      <w:pPr>
        <w:spacing w:line="360" w:lineRule="auto"/>
        <w:ind w:firstLine="420" w:firstLineChars="200"/>
        <w:rPr>
          <w:rFonts w:ascii="Times New Roman" w:hAnsi="Times New Roman" w:eastAsia="宋体" w:cs="Times New Roman"/>
        </w:rPr>
      </w:pPr>
      <w:r>
        <w:rPr>
          <w:rFonts w:ascii="Times New Roman" w:hAnsi="Times New Roman" w:cs="Times New Roman"/>
        </w:rPr>
        <w:drawing>
          <wp:inline distT="0" distB="0" distL="0" distR="0">
            <wp:extent cx="4584700" cy="2769870"/>
            <wp:effectExtent l="4445" t="4445" r="20955" b="698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spacing w:line="360" w:lineRule="auto"/>
        <w:jc w:val="center"/>
        <w:rPr>
          <w:rFonts w:ascii="Times New Roman" w:hAnsi="Times New Roman" w:eastAsia="宋体" w:cs="Times New Roman"/>
        </w:rPr>
      </w:pPr>
      <w:r>
        <w:rPr>
          <w:rFonts w:ascii="Times New Roman" w:hAnsi="Times New Roman" w:eastAsia="宋体" w:cs="Times New Roman"/>
        </w:rPr>
        <w:t>图3：养殖场污水中（100 μg/kg）的基质效应图</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本实验中，不同四环素药物在养殖场污水基质中的基质效应不同，其中大部分磺胺类，喹诺酮类及四环素类药物均表现出基质抑制现象或基质增强现象</w:t>
      </w:r>
      <w:r>
        <w:rPr>
          <w:rFonts w:ascii="Times New Roman" w:hAnsi="Times New Roman" w:eastAsia="宋体" w:cs="Times New Roman"/>
          <w:color w:val="FF0000"/>
        </w:rPr>
        <w:t>，</w:t>
      </w:r>
      <w:r>
        <w:rPr>
          <w:rFonts w:ascii="Times New Roman" w:hAnsi="Times New Roman" w:eastAsia="宋体" w:cs="Times New Roman"/>
        </w:rPr>
        <w:t>因此线采用基质标校准曲线进行定量计算，同时通过尽量减少可能的干扰，提高色谱分离能力，改变流动相的强度和梯度条件等措施有效降低基质效应。同时，内标的使用具有最明显的降低基质效应影响，但是由于内标</w:t>
      </w:r>
      <w:r>
        <w:rPr>
          <w:rFonts w:hint="eastAsia" w:ascii="Times New Roman" w:hAnsi="Times New Roman" w:eastAsia="宋体" w:cs="Times New Roman"/>
        </w:rPr>
        <w:t>价格</w:t>
      </w:r>
      <w:r>
        <w:rPr>
          <w:rFonts w:ascii="Times New Roman" w:hAnsi="Times New Roman" w:eastAsia="宋体" w:cs="Times New Roman"/>
        </w:rPr>
        <w:t>昂贵，而且筛查方法涉及的药物种类过多，很难找到满足大量药物筛查条件的内标物，因此本实验并未采用添加内标的方法，只是使用基质标的方法来降低部分基质效应的干扰。</w:t>
      </w:r>
    </w:p>
    <w:p>
      <w:pPr>
        <w:spacing w:line="480" w:lineRule="auto"/>
        <w:rPr>
          <w:rFonts w:ascii="Times New Roman" w:hAnsi="Times New Roman" w:eastAsia="宋体" w:cs="Times New Roman"/>
          <w:b/>
          <w:bCs/>
          <w:sz w:val="24"/>
        </w:rPr>
      </w:pPr>
      <w:r>
        <w:rPr>
          <w:rFonts w:ascii="Times New Roman" w:hAnsi="Times New Roman" w:eastAsia="宋体" w:cs="Times New Roman"/>
          <w:b/>
          <w:bCs/>
          <w:sz w:val="24"/>
        </w:rPr>
        <w:t>3.</w:t>
      </w:r>
      <w:r>
        <w:rPr>
          <w:rFonts w:hint="eastAsia" w:ascii="Times New Roman" w:hAnsi="Times New Roman" w:eastAsia="宋体" w:cs="Times New Roman"/>
          <w:b/>
          <w:bCs/>
          <w:sz w:val="24"/>
        </w:rPr>
        <w:t>2</w:t>
      </w:r>
      <w:r>
        <w:rPr>
          <w:rFonts w:ascii="Times New Roman" w:hAnsi="Times New Roman" w:eastAsia="宋体" w:cs="Times New Roman"/>
          <w:b/>
          <w:bCs/>
          <w:sz w:val="24"/>
        </w:rPr>
        <w:t>.1.</w:t>
      </w:r>
      <w:r>
        <w:rPr>
          <w:rFonts w:hint="eastAsia" w:ascii="Times New Roman" w:hAnsi="Times New Roman" w:eastAsia="宋体" w:cs="Times New Roman"/>
          <w:b/>
          <w:bCs/>
          <w:sz w:val="24"/>
        </w:rPr>
        <w:t>5</w:t>
      </w:r>
      <w:r>
        <w:rPr>
          <w:rFonts w:ascii="Times New Roman" w:hAnsi="Times New Roman" w:eastAsia="宋体" w:cs="Times New Roman"/>
          <w:b/>
          <w:bCs/>
          <w:sz w:val="24"/>
        </w:rPr>
        <w:t xml:space="preserve"> 实验方法的确定</w:t>
      </w:r>
    </w:p>
    <w:p>
      <w:pPr>
        <w:spacing w:line="480" w:lineRule="auto"/>
        <w:rPr>
          <w:rFonts w:ascii="Times New Roman" w:hAnsi="Times New Roman" w:eastAsia="宋体" w:cs="Times New Roman"/>
        </w:rPr>
      </w:pPr>
      <w:r>
        <w:rPr>
          <w:rFonts w:ascii="Times New Roman" w:hAnsi="Times New Roman" w:eastAsia="宋体" w:cs="Times New Roman"/>
          <w:b/>
          <w:bCs/>
        </w:rPr>
        <w:t>3.</w:t>
      </w:r>
      <w:r>
        <w:rPr>
          <w:rFonts w:hint="eastAsia" w:ascii="Times New Roman" w:hAnsi="Times New Roman" w:eastAsia="宋体" w:cs="Times New Roman"/>
          <w:b/>
          <w:bCs/>
        </w:rPr>
        <w:t>2</w:t>
      </w:r>
      <w:r>
        <w:rPr>
          <w:rFonts w:ascii="Times New Roman" w:hAnsi="Times New Roman" w:eastAsia="宋体" w:cs="Times New Roman"/>
          <w:b/>
          <w:bCs/>
        </w:rPr>
        <w:t>.1.</w:t>
      </w:r>
      <w:r>
        <w:rPr>
          <w:rFonts w:hint="eastAsia" w:ascii="Times New Roman" w:hAnsi="Times New Roman" w:eastAsia="宋体" w:cs="Times New Roman"/>
          <w:b/>
          <w:bCs/>
        </w:rPr>
        <w:t>5</w:t>
      </w:r>
      <w:r>
        <w:rPr>
          <w:rFonts w:ascii="Times New Roman" w:hAnsi="Times New Roman" w:eastAsia="宋体" w:cs="Times New Roman"/>
          <w:b/>
          <w:bCs/>
        </w:rPr>
        <w:t>.1 提取</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平行做两份试验，准确移取样品2 mL置于50 mL离心管中，加入2 mL EDTA-McIIvaine提取缓冲液，涡旋混匀1 min，加入8 mL</w:t>
      </w:r>
      <w:r>
        <w:rPr>
          <w:rFonts w:hint="eastAsia" w:ascii="Times New Roman" w:hAnsi="Times New Roman" w:eastAsia="宋体" w:cs="Times New Roman"/>
        </w:rPr>
        <w:t>提取液（</w:t>
      </w:r>
      <w:r>
        <w:rPr>
          <w:rFonts w:ascii="Times New Roman" w:hAnsi="Times New Roman" w:eastAsia="宋体" w:cs="Times New Roman"/>
        </w:rPr>
        <w:t>乙腈/甲醇（3/1，v/v）</w:t>
      </w:r>
      <w:r>
        <w:rPr>
          <w:rFonts w:hint="eastAsia" w:ascii="Times New Roman" w:hAnsi="Times New Roman" w:eastAsia="宋体" w:cs="Times New Roman"/>
        </w:rPr>
        <w:t>）</w:t>
      </w:r>
      <w:r>
        <w:rPr>
          <w:rFonts w:ascii="Times New Roman" w:hAnsi="Times New Roman" w:eastAsia="宋体" w:cs="Times New Roman"/>
        </w:rPr>
        <w:t>，涡旋混匀后超声提取15 min，10, 000 r/min，4℃条件下离心10 min，取全部上层清液于50 mL离心管中加入萃取盐包，涡旋混匀1 min，静置10 min盐析分层，10, 000 r/min，4℃条件下离心10 min，取5 mL上层清液于15 mL离心管中。</w:t>
      </w:r>
    </w:p>
    <w:p>
      <w:pPr>
        <w:spacing w:line="360" w:lineRule="auto"/>
        <w:rPr>
          <w:rFonts w:ascii="Times New Roman" w:hAnsi="Times New Roman" w:eastAsia="宋体" w:cs="Times New Roman"/>
          <w:b/>
          <w:bCs/>
        </w:rPr>
      </w:pPr>
      <w:r>
        <w:rPr>
          <w:rFonts w:ascii="Times New Roman" w:hAnsi="Times New Roman" w:eastAsia="宋体" w:cs="Times New Roman"/>
          <w:b/>
          <w:bCs/>
        </w:rPr>
        <w:t>3.</w:t>
      </w:r>
      <w:r>
        <w:rPr>
          <w:rFonts w:hint="eastAsia" w:ascii="Times New Roman" w:hAnsi="Times New Roman" w:eastAsia="宋体" w:cs="Times New Roman"/>
          <w:b/>
          <w:bCs/>
        </w:rPr>
        <w:t>2</w:t>
      </w:r>
      <w:r>
        <w:rPr>
          <w:rFonts w:ascii="Times New Roman" w:hAnsi="Times New Roman" w:eastAsia="宋体" w:cs="Times New Roman"/>
          <w:b/>
          <w:bCs/>
        </w:rPr>
        <w:t>.1.</w:t>
      </w:r>
      <w:r>
        <w:rPr>
          <w:rFonts w:hint="eastAsia" w:ascii="Times New Roman" w:hAnsi="Times New Roman" w:eastAsia="宋体" w:cs="Times New Roman"/>
          <w:b/>
          <w:bCs/>
        </w:rPr>
        <w:t>5</w:t>
      </w:r>
      <w:r>
        <w:rPr>
          <w:rFonts w:ascii="Times New Roman" w:hAnsi="Times New Roman" w:eastAsia="宋体" w:cs="Times New Roman"/>
          <w:b/>
          <w:bCs/>
        </w:rPr>
        <w:t>.2 净化</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取一份净化盐包加入上述上层清液，涡旋混匀1 min，在10, 000 r/min，4°C条件下离心5 min，取4 mL上清液在40 ℃水浴条件下氮吹至吹干，用80%甲醇水溶液定容至1 mL，过</w:t>
      </w:r>
      <w:r>
        <w:fldChar w:fldCharType="begin"/>
      </w:r>
      <w:r>
        <w:instrText xml:space="preserve"> HYPERLINK "https://www.caasbuy.com/item_detail.lf?itemId=7881451" </w:instrText>
      </w:r>
      <w:r>
        <w:fldChar w:fldCharType="separate"/>
      </w:r>
      <w:r>
        <w:rPr>
          <w:rStyle w:val="12"/>
          <w:rFonts w:ascii="Times New Roman" w:hAnsi="Times New Roman" w:eastAsia="宋体" w:cs="Times New Roman"/>
          <w:color w:val="auto"/>
          <w:u w:val="none"/>
        </w:rPr>
        <w:t>针筒式滤膜过滤器</w:t>
      </w:r>
      <w:r>
        <w:rPr>
          <w:rStyle w:val="12"/>
          <w:rFonts w:ascii="Times New Roman" w:hAnsi="Times New Roman" w:eastAsia="宋体" w:cs="Times New Roman"/>
          <w:color w:val="auto"/>
          <w:u w:val="none"/>
        </w:rPr>
        <w:fldChar w:fldCharType="end"/>
      </w:r>
      <w:r>
        <w:rPr>
          <w:rFonts w:ascii="Times New Roman" w:hAnsi="Times New Roman" w:eastAsia="宋体" w:cs="Times New Roman"/>
        </w:rPr>
        <w:t>，供液相色谱-串联质谱分析测定。</w:t>
      </w:r>
    </w:p>
    <w:p>
      <w:pPr>
        <w:spacing w:line="480" w:lineRule="auto"/>
        <w:rPr>
          <w:rFonts w:ascii="Times New Roman" w:hAnsi="Times New Roman" w:eastAsia="宋体" w:cs="Times New Roman"/>
          <w:b/>
          <w:bCs/>
          <w:sz w:val="24"/>
        </w:rPr>
      </w:pPr>
      <w:r>
        <w:rPr>
          <w:rFonts w:ascii="Times New Roman" w:hAnsi="Times New Roman" w:eastAsia="宋体" w:cs="Times New Roman"/>
          <w:b/>
          <w:bCs/>
          <w:sz w:val="24"/>
        </w:rPr>
        <w:t>3.2.1.6</w:t>
      </w:r>
      <w:r>
        <w:rPr>
          <w:rFonts w:hint="eastAsia" w:ascii="Times New Roman" w:hAnsi="Times New Roman" w:eastAsia="宋体" w:cs="Times New Roman"/>
          <w:b/>
          <w:bCs/>
          <w:sz w:val="24"/>
        </w:rPr>
        <w:t xml:space="preserve"> 方法评价</w:t>
      </w:r>
    </w:p>
    <w:p>
      <w:pPr>
        <w:spacing w:line="480" w:lineRule="auto"/>
        <w:rPr>
          <w:rFonts w:ascii="Times New Roman" w:hAnsi="Times New Roman" w:eastAsia="宋体" w:cs="Times New Roman"/>
          <w:b/>
          <w:bCs/>
          <w:szCs w:val="21"/>
        </w:rPr>
      </w:pPr>
      <w:r>
        <w:rPr>
          <w:rFonts w:ascii="Times New Roman" w:hAnsi="Times New Roman" w:eastAsia="宋体" w:cs="Times New Roman"/>
          <w:b/>
          <w:bCs/>
          <w:szCs w:val="21"/>
        </w:rPr>
        <w:t xml:space="preserve">3.2.1.6.1 </w:t>
      </w:r>
      <w:r>
        <w:rPr>
          <w:rFonts w:hint="eastAsia" w:ascii="Times New Roman" w:hAnsi="Times New Roman" w:eastAsia="宋体" w:cs="Times New Roman"/>
          <w:b/>
          <w:bCs/>
          <w:szCs w:val="21"/>
        </w:rPr>
        <w:t>检出限与定量限的确定</w:t>
      </w:r>
    </w:p>
    <w:p>
      <w:pPr>
        <w:spacing w:line="360" w:lineRule="auto"/>
        <w:ind w:left="210" w:leftChars="100" w:firstLine="420" w:firstLineChars="200"/>
        <w:rPr>
          <w:rFonts w:ascii="Times New Roman" w:hAnsi="Times New Roman" w:eastAsia="宋体" w:cs="Times New Roman"/>
        </w:rPr>
      </w:pPr>
      <w:r>
        <w:rPr>
          <w:rFonts w:ascii="Times New Roman" w:hAnsi="Times New Roman" w:eastAsia="宋体" w:cs="Times New Roman"/>
          <w:szCs w:val="21"/>
        </w:rPr>
        <w:t>利用空白样品添加不同浓度的混合抗生素药物，用上述前处理方法进行样品处理，依照确定的色谱和质谱条件进行分析，四环素类、磺胺类和喹诺酮类药物的</w:t>
      </w:r>
      <w:r>
        <w:rPr>
          <w:rFonts w:ascii="Times New Roman" w:hAnsi="Times New Roman" w:cs="Times New Roman"/>
          <w:szCs w:val="21"/>
        </w:rPr>
        <w:t>信噪比S/N大于10时为定量限，</w:t>
      </w:r>
      <w:r>
        <w:rPr>
          <w:rFonts w:ascii="Times New Roman" w:hAnsi="Times New Roman" w:eastAsia="宋体" w:cs="Times New Roman"/>
          <w:szCs w:val="21"/>
        </w:rPr>
        <w:t>四环素类、磺胺类和喹诺酮类药物</w:t>
      </w:r>
      <w:r>
        <w:rPr>
          <w:rFonts w:ascii="Times New Roman" w:hAnsi="Times New Roman" w:cs="Times New Roman"/>
          <w:szCs w:val="21"/>
        </w:rPr>
        <w:t>在各基质的定量限均为</w:t>
      </w:r>
      <w:r>
        <w:rPr>
          <w:rFonts w:ascii="Times New Roman" w:hAnsi="Times New Roman" w:eastAsia="宋体" w:cs="Times New Roman"/>
          <w:szCs w:val="21"/>
        </w:rPr>
        <w:t xml:space="preserve">5 </w:t>
      </w:r>
      <w:r>
        <w:rPr>
          <w:rFonts w:ascii="Times New Roman" w:hAnsi="Times New Roman" w:cs="Times New Roman"/>
          <w:szCs w:val="21"/>
        </w:rPr>
        <w:t>μg/</w:t>
      </w:r>
      <w:r>
        <w:rPr>
          <w:rFonts w:hint="eastAsia" w:ascii="Times New Roman" w:hAnsi="Times New Roman" w:cs="Times New Roman"/>
          <w:szCs w:val="21"/>
        </w:rPr>
        <w:t>L</w:t>
      </w:r>
      <w:r>
        <w:rPr>
          <w:rFonts w:ascii="Times New Roman" w:hAnsi="Times New Roman" w:cs="Times New Roman"/>
          <w:szCs w:val="21"/>
        </w:rPr>
        <w:t>，</w:t>
      </w:r>
      <w:r>
        <w:rPr>
          <w:rFonts w:ascii="Times New Roman" w:hAnsi="Times New Roman" w:eastAsia="宋体" w:cs="Times New Roman"/>
          <w:szCs w:val="21"/>
        </w:rPr>
        <w:t>四环素类、磺胺类和喹诺酮类药物的</w:t>
      </w:r>
      <w:r>
        <w:rPr>
          <w:rFonts w:ascii="Times New Roman" w:hAnsi="Times New Roman" w:cs="Times New Roman"/>
          <w:szCs w:val="21"/>
        </w:rPr>
        <w:t>信噪比S/N大于3时为定量限，</w:t>
      </w:r>
      <w:r>
        <w:rPr>
          <w:rFonts w:ascii="Times New Roman" w:hAnsi="Times New Roman" w:eastAsia="宋体" w:cs="Times New Roman"/>
          <w:szCs w:val="21"/>
        </w:rPr>
        <w:t>四环素类、磺胺类和喹诺酮类药物</w:t>
      </w:r>
      <w:r>
        <w:rPr>
          <w:rFonts w:ascii="Times New Roman" w:hAnsi="Times New Roman" w:cs="Times New Roman"/>
          <w:szCs w:val="21"/>
        </w:rPr>
        <w:t>在各基质的检出限均为</w:t>
      </w:r>
      <w:r>
        <w:rPr>
          <w:rFonts w:ascii="Times New Roman" w:hAnsi="Times New Roman" w:eastAsia="宋体" w:cs="Times New Roman"/>
          <w:szCs w:val="21"/>
        </w:rPr>
        <w:t xml:space="preserve">2 </w:t>
      </w:r>
      <w:r>
        <w:rPr>
          <w:rFonts w:ascii="Times New Roman" w:hAnsi="Times New Roman" w:cs="Times New Roman"/>
          <w:szCs w:val="21"/>
        </w:rPr>
        <w:t>μg/</w:t>
      </w:r>
      <w:r>
        <w:rPr>
          <w:rFonts w:hint="eastAsia" w:ascii="Times New Roman" w:hAnsi="Times New Roman" w:cs="Times New Roman"/>
          <w:szCs w:val="21"/>
        </w:rPr>
        <w:t>L</w:t>
      </w:r>
      <w:r>
        <w:rPr>
          <w:rFonts w:ascii="Times New Roman" w:hAnsi="Times New Roman" w:cs="Times New Roman"/>
          <w:szCs w:val="21"/>
        </w:rPr>
        <w:t>。</w:t>
      </w:r>
      <w:r>
        <w:rPr>
          <w:rFonts w:ascii="Times New Roman" w:hAnsi="Times New Roman" w:eastAsia="宋体" w:cs="Times New Roman"/>
        </w:rPr>
        <w:t>详细信息见附录</w:t>
      </w:r>
      <w:r>
        <w:rPr>
          <w:rFonts w:hint="eastAsia" w:ascii="Times New Roman" w:hAnsi="Times New Roman" w:eastAsia="宋体" w:cs="Times New Roman"/>
        </w:rPr>
        <w:t>A</w:t>
      </w:r>
      <w:r>
        <w:rPr>
          <w:rFonts w:ascii="Times New Roman" w:hAnsi="Times New Roman" w:eastAsia="宋体" w:cs="Times New Roman"/>
        </w:rPr>
        <w:t>。</w:t>
      </w:r>
    </w:p>
    <w:p>
      <w:pPr>
        <w:spacing w:line="480" w:lineRule="auto"/>
        <w:rPr>
          <w:rFonts w:ascii="Times New Roman" w:hAnsi="Times New Roman" w:eastAsia="宋体" w:cs="Times New Roman"/>
          <w:b/>
          <w:bCs/>
          <w:szCs w:val="21"/>
        </w:rPr>
      </w:pPr>
      <w:r>
        <w:rPr>
          <w:rFonts w:ascii="Times New Roman" w:hAnsi="Times New Roman" w:eastAsia="宋体" w:cs="Times New Roman"/>
          <w:b/>
          <w:bCs/>
          <w:szCs w:val="21"/>
        </w:rPr>
        <w:t>3.2.1</w:t>
      </w:r>
      <w:r>
        <w:rPr>
          <w:rFonts w:hint="eastAsia" w:ascii="Times New Roman" w:hAnsi="Times New Roman" w:eastAsia="宋体" w:cs="Times New Roman"/>
          <w:b/>
          <w:bCs/>
          <w:szCs w:val="21"/>
        </w:rPr>
        <w:t>.6.2基质匹配标准曲线</w:t>
      </w:r>
    </w:p>
    <w:p>
      <w:pPr>
        <w:spacing w:line="360" w:lineRule="auto"/>
        <w:ind w:firstLine="420" w:firstLineChars="200"/>
        <w:rPr>
          <w:rFonts w:ascii="Times New Roman" w:hAnsi="Times New Roman" w:eastAsia="宋体" w:cs="Times New Roman"/>
          <w:highlight w:val="yellow"/>
        </w:rPr>
      </w:pPr>
      <w:r>
        <w:rPr>
          <w:rFonts w:ascii="Times New Roman"/>
        </w:rPr>
        <w:t>取</w:t>
      </w:r>
      <w:r>
        <w:rPr>
          <w:rFonts w:hint="eastAsia" w:ascii="Times New Roman"/>
        </w:rPr>
        <w:t>鸡、猪、牛养殖场污水</w:t>
      </w:r>
      <w:r>
        <w:rPr>
          <w:rFonts w:ascii="Times New Roman"/>
        </w:rPr>
        <w:t>空白</w:t>
      </w:r>
      <w:r>
        <w:rPr>
          <w:rFonts w:hint="eastAsia" w:ascii="Times New Roman"/>
        </w:rPr>
        <w:t>样品</w:t>
      </w:r>
      <w:r>
        <w:rPr>
          <w:rFonts w:ascii="Times New Roman"/>
        </w:rPr>
        <w:t>，按</w:t>
      </w:r>
      <w:r>
        <w:rPr>
          <w:rFonts w:hint="eastAsia" w:ascii="Times New Roman"/>
        </w:rPr>
        <w:t>提取</w:t>
      </w:r>
      <w:r>
        <w:rPr>
          <w:rFonts w:ascii="Times New Roman"/>
        </w:rPr>
        <w:t>和</w:t>
      </w:r>
      <w:r>
        <w:rPr>
          <w:rFonts w:hint="eastAsia" w:ascii="Times New Roman"/>
        </w:rPr>
        <w:t>净化步骤</w:t>
      </w:r>
      <w:r>
        <w:rPr>
          <w:rFonts w:ascii="Times New Roman"/>
        </w:rPr>
        <w:t>处理得到</w:t>
      </w:r>
      <w:r>
        <w:rPr>
          <w:rFonts w:hint="eastAsia" w:ascii="Times New Roman"/>
        </w:rPr>
        <w:t>氮吹吹干的</w:t>
      </w:r>
      <w:r>
        <w:rPr>
          <w:rFonts w:ascii="Times New Roman"/>
        </w:rPr>
        <w:t>空白基质</w:t>
      </w:r>
      <w:r>
        <w:rPr>
          <w:rFonts w:ascii="Times New Roman"/>
          <w:szCs w:val="21"/>
        </w:rPr>
        <w:t>，分别</w:t>
      </w:r>
      <w:r>
        <w:rPr>
          <w:rFonts w:ascii="Times New Roman" w:hAnsi="Times New Roman" w:eastAsia="宋体" w:cs="Times New Roman"/>
        </w:rPr>
        <w:t>量取</w:t>
      </w:r>
      <w:r>
        <w:rPr>
          <w:rFonts w:hint="eastAsia" w:ascii="Times New Roman" w:hAnsi="Times New Roman" w:eastAsia="宋体" w:cs="Times New Roman"/>
        </w:rPr>
        <w:t>1mL</w:t>
      </w:r>
      <w:r>
        <w:rPr>
          <w:rFonts w:hint="eastAsia" w:ascii="Times New Roman" w:hAnsi="Times New Roman" w:eastAsia="宋体" w:cs="Times New Roman"/>
          <w:szCs w:val="21"/>
        </w:rPr>
        <w:t>四环素类、磺胺类和喹诺酮类</w:t>
      </w:r>
      <w:r>
        <w:rPr>
          <w:rFonts w:ascii="Times New Roman" w:hAnsi="Times New Roman" w:cs="Times New Roman"/>
        </w:rPr>
        <w:t>33</w:t>
      </w:r>
      <w:r>
        <w:rPr>
          <w:rFonts w:hint="eastAsia" w:ascii="Times New Roman" w:hAnsi="Times New Roman" w:cs="Times New Roman"/>
        </w:rPr>
        <w:t>种药物</w:t>
      </w:r>
      <w:r>
        <w:rPr>
          <w:rFonts w:ascii="Times New Roman" w:hAnsi="Times New Roman" w:eastAsia="宋体" w:cs="Times New Roman"/>
        </w:rPr>
        <w:t>混合标准工作液，</w:t>
      </w:r>
      <w:r>
        <w:rPr>
          <w:rFonts w:ascii="Times New Roman"/>
          <w:szCs w:val="21"/>
        </w:rPr>
        <w:t>进行</w:t>
      </w:r>
      <w:r>
        <w:rPr>
          <w:rFonts w:hint="eastAsia" w:ascii="Times New Roman"/>
          <w:szCs w:val="21"/>
        </w:rPr>
        <w:t>复溶，</w:t>
      </w:r>
      <w:r>
        <w:rPr>
          <w:rFonts w:hint="eastAsia" w:ascii="Times New Roman" w:hAnsi="Times New Roman" w:eastAsia="宋体" w:cs="Times New Roman"/>
        </w:rPr>
        <w:t>配制</w:t>
      </w:r>
      <w:r>
        <w:rPr>
          <w:rFonts w:ascii="Times New Roman" w:hAnsi="Times New Roman" w:eastAsia="宋体" w:cs="Times New Roman"/>
        </w:rPr>
        <w:t>成浓度分别为</w:t>
      </w:r>
      <w:r>
        <w:rPr>
          <w:rFonts w:hint="eastAsia" w:ascii="Times New Roman" w:hAnsi="Times New Roman" w:eastAsia="宋体" w:cs="Times New Roman"/>
        </w:rPr>
        <w:t xml:space="preserve">2 </w:t>
      </w:r>
      <w:r>
        <w:rPr>
          <w:rFonts w:ascii="Times New Roman" w:hAnsi="Times New Roman" w:eastAsia="宋体" w:cs="Times New Roman"/>
        </w:rPr>
        <w:t>ng/mL、5</w:t>
      </w:r>
      <w:r>
        <w:rPr>
          <w:rFonts w:hint="eastAsia" w:ascii="Times New Roman" w:hAnsi="Times New Roman" w:eastAsia="宋体" w:cs="Times New Roman"/>
        </w:rPr>
        <w:t xml:space="preserve"> </w:t>
      </w:r>
      <w:r>
        <w:rPr>
          <w:rFonts w:ascii="Times New Roman" w:hAnsi="Times New Roman" w:eastAsia="宋体" w:cs="Times New Roman"/>
        </w:rPr>
        <w:t>ng/mL、10</w:t>
      </w:r>
      <w:r>
        <w:rPr>
          <w:rFonts w:hint="eastAsia" w:ascii="Times New Roman" w:hAnsi="Times New Roman" w:eastAsia="宋体" w:cs="Times New Roman"/>
        </w:rPr>
        <w:t xml:space="preserve"> </w:t>
      </w:r>
      <w:r>
        <w:rPr>
          <w:rFonts w:ascii="Times New Roman" w:hAnsi="Times New Roman" w:eastAsia="宋体" w:cs="Times New Roman"/>
        </w:rPr>
        <w:t>ng/mL、50</w:t>
      </w:r>
      <w:r>
        <w:rPr>
          <w:rFonts w:hint="eastAsia" w:ascii="Times New Roman" w:hAnsi="Times New Roman" w:eastAsia="宋体" w:cs="Times New Roman"/>
        </w:rPr>
        <w:t xml:space="preserve"> </w:t>
      </w:r>
      <w:r>
        <w:rPr>
          <w:rFonts w:ascii="Times New Roman" w:hAnsi="Times New Roman" w:eastAsia="宋体" w:cs="Times New Roman"/>
        </w:rPr>
        <w:t>ng/mL、100</w:t>
      </w:r>
      <w:r>
        <w:rPr>
          <w:rFonts w:hint="eastAsia" w:ascii="Times New Roman" w:hAnsi="Times New Roman" w:eastAsia="宋体" w:cs="Times New Roman"/>
        </w:rPr>
        <w:t xml:space="preserve"> </w:t>
      </w:r>
      <w:r>
        <w:rPr>
          <w:rFonts w:ascii="Times New Roman" w:hAnsi="Times New Roman" w:eastAsia="宋体" w:cs="Times New Roman"/>
        </w:rPr>
        <w:t>ng/mL、200 ng/mL的混合标准溶液，使用HPLC-MS/MS对各药物进行测定。在上述确定参数条件下，从低浓度到高浓度进样，每一浓度样品进样三针，作各个药物的</w:t>
      </w:r>
      <w:r>
        <w:rPr>
          <w:rFonts w:hint="eastAsia" w:ascii="Times New Roman" w:hAnsi="Times New Roman" w:eastAsia="宋体" w:cs="Times New Roman"/>
        </w:rPr>
        <w:t>基质匹配</w:t>
      </w:r>
      <w:r>
        <w:rPr>
          <w:rFonts w:ascii="Times New Roman" w:hAnsi="Times New Roman" w:eastAsia="宋体" w:cs="Times New Roman"/>
        </w:rPr>
        <w:t>标准曲线，计算出回归方程和相关系数。试验测得</w:t>
      </w:r>
      <w:r>
        <w:rPr>
          <w:rFonts w:hint="eastAsia" w:ascii="Times New Roman" w:hAnsi="Times New Roman" w:eastAsia="宋体" w:cs="Times New Roman"/>
        </w:rPr>
        <w:t>磺胺嘧啶，磺胺二甲基嘧啶，磺胺氯哒嗪，磺胺甲噁唑，磺胺噻唑，磺胺甲噻二唑，磺胺苯吡唑，磺胺脒，磺胺醋酰钠，磺胺邻二甲氧嘧啶，磺胺喹噁啉，氟罗沙星，司帕沙星，奥比沙星，恩诺沙星，二氟沙星，氧氟沙星，氟甲喹和恶喹酸，磺胺甲氧嗪，磺胺对甲氧嘧啶，磺胺间甲氧嘧啶，磺胺间二甲氧嘧啶，诺氟沙星，达氟沙星，培氟沙星，环丙沙星，沙拉沙星，洛美沙星，四环素，土霉素，金霉素和多西环素33种抗生素</w:t>
      </w:r>
      <w:r>
        <w:rPr>
          <w:rFonts w:ascii="Times New Roman" w:hAnsi="Times New Roman" w:eastAsia="宋体" w:cs="Times New Roman"/>
        </w:rPr>
        <w:t>标准</w:t>
      </w:r>
      <w:r>
        <w:rPr>
          <w:rFonts w:hint="eastAsia" w:ascii="Times New Roman" w:hAnsi="Times New Roman" w:eastAsia="宋体" w:cs="Times New Roman"/>
        </w:rPr>
        <w:t>匹配</w:t>
      </w:r>
      <w:r>
        <w:rPr>
          <w:rFonts w:ascii="Times New Roman" w:hAnsi="Times New Roman" w:eastAsia="宋体" w:cs="Times New Roman"/>
        </w:rPr>
        <w:t>溶液浓度在</w:t>
      </w:r>
      <w:r>
        <w:rPr>
          <w:rFonts w:hint="eastAsia" w:ascii="Times New Roman" w:hAnsi="Times New Roman" w:eastAsia="宋体" w:cs="Times New Roman"/>
        </w:rPr>
        <w:t xml:space="preserve">2 </w:t>
      </w:r>
      <w:r>
        <w:rPr>
          <w:rFonts w:ascii="Times New Roman" w:hAnsi="Times New Roman" w:eastAsia="宋体" w:cs="Times New Roman"/>
        </w:rPr>
        <w:t xml:space="preserve">ng/mL ~ </w:t>
      </w:r>
      <w:r>
        <w:rPr>
          <w:rFonts w:hint="eastAsia" w:ascii="Times New Roman" w:hAnsi="Times New Roman" w:eastAsia="宋体" w:cs="Times New Roman"/>
        </w:rPr>
        <w:t>2</w:t>
      </w:r>
      <w:r>
        <w:rPr>
          <w:rFonts w:ascii="Times New Roman" w:hAnsi="Times New Roman" w:eastAsia="宋体" w:cs="Times New Roman"/>
        </w:rPr>
        <w:t>00 ng/mL范围内具有良好的线性关系</w:t>
      </w:r>
      <w:r>
        <w:rPr>
          <w:rFonts w:hint="eastAsia" w:ascii="Times New Roman" w:hAnsi="Times New Roman" w:eastAsia="宋体" w:cs="Times New Roman"/>
        </w:rPr>
        <w:t>。</w:t>
      </w:r>
      <w:r>
        <w:rPr>
          <w:rFonts w:hint="eastAsia" w:ascii="Times New Roman" w:hAnsi="Times New Roman" w:eastAsia="宋体" w:cs="Times New Roman"/>
          <w:szCs w:val="21"/>
        </w:rPr>
        <w:t>四环素类、磺胺类和喹诺酮类</w:t>
      </w:r>
      <w:r>
        <w:rPr>
          <w:rFonts w:ascii="Times New Roman" w:hAnsi="Times New Roman" w:cs="Times New Roman"/>
        </w:rPr>
        <w:t>33</w:t>
      </w:r>
      <w:r>
        <w:rPr>
          <w:rFonts w:hint="eastAsia" w:ascii="Times New Roman" w:hAnsi="Times New Roman" w:cs="Times New Roman"/>
        </w:rPr>
        <w:t>种药物</w:t>
      </w:r>
      <w:r>
        <w:rPr>
          <w:rFonts w:hint="eastAsia" w:ascii="Times New Roman" w:hAnsi="Times New Roman" w:eastAsia="宋体" w:cs="Times New Roman"/>
          <w:szCs w:val="21"/>
        </w:rPr>
        <w:t>的</w:t>
      </w:r>
      <w:r>
        <w:rPr>
          <w:rFonts w:ascii="Times New Roman" w:hAnsi="Times New Roman" w:eastAsia="宋体" w:cs="Times New Roman"/>
        </w:rPr>
        <w:t>具体线性方程及相关系数见</w:t>
      </w:r>
      <w:r>
        <w:rPr>
          <w:rFonts w:hint="eastAsia" w:ascii="Times New Roman" w:hAnsi="Times New Roman" w:eastAsia="宋体" w:cs="Times New Roman"/>
        </w:rPr>
        <w:t>附录B</w:t>
      </w:r>
      <w:r>
        <w:rPr>
          <w:rFonts w:ascii="Times New Roman" w:hAnsi="Times New Roman" w:eastAsia="宋体" w:cs="Times New Roman"/>
        </w:rPr>
        <w:t>。</w:t>
      </w:r>
    </w:p>
    <w:p>
      <w:pPr>
        <w:spacing w:line="480" w:lineRule="auto"/>
        <w:rPr>
          <w:rFonts w:ascii="Times New Roman" w:hAnsi="Times New Roman" w:eastAsia="宋体" w:cs="Times New Roman"/>
          <w:b/>
          <w:bCs/>
          <w:szCs w:val="21"/>
        </w:rPr>
      </w:pPr>
      <w:r>
        <w:rPr>
          <w:rFonts w:ascii="Times New Roman" w:hAnsi="Times New Roman" w:eastAsia="宋体" w:cs="Times New Roman"/>
          <w:b/>
          <w:bCs/>
          <w:szCs w:val="21"/>
        </w:rPr>
        <w:t>3.2.1.6.3</w:t>
      </w:r>
      <w:r>
        <w:rPr>
          <w:rFonts w:hint="eastAsia" w:ascii="Times New Roman" w:hAnsi="Times New Roman" w:eastAsia="宋体" w:cs="Times New Roman"/>
          <w:b/>
          <w:bCs/>
          <w:szCs w:val="21"/>
        </w:rPr>
        <w:t xml:space="preserve"> 方法的准确度与精密度</w:t>
      </w:r>
    </w:p>
    <w:p>
      <w:pPr>
        <w:spacing w:line="360" w:lineRule="auto"/>
        <w:ind w:firstLine="420" w:firstLineChars="200"/>
        <w:rPr>
          <w:rFonts w:ascii="Times New Roman" w:hAnsi="Times New Roman" w:eastAsia="宋体" w:cs="Times New Roman"/>
        </w:rPr>
      </w:pPr>
      <w:r>
        <w:rPr>
          <w:rFonts w:hint="eastAsia" w:ascii="Times New Roman" w:hAnsi="Times New Roman" w:eastAsia="宋体" w:cs="Times New Roman"/>
        </w:rPr>
        <w:t>分别选择鸡、猪、牛养殖场污水3种</w:t>
      </w:r>
      <w:r>
        <w:rPr>
          <w:rFonts w:ascii="Times New Roman" w:hAnsi="Times New Roman" w:eastAsia="宋体" w:cs="Times New Roman"/>
        </w:rPr>
        <w:t>空白基质进行添加回收试验，</w:t>
      </w:r>
      <w:r>
        <w:rPr>
          <w:rFonts w:hint="eastAsia" w:ascii="Times New Roman" w:hAnsi="Times New Roman" w:eastAsia="宋体" w:cs="Times New Roman"/>
        </w:rPr>
        <w:t>按照LOQ、2 LOQ、10 LOQ进行添加，</w:t>
      </w:r>
      <w:r>
        <w:rPr>
          <w:rFonts w:ascii="Times New Roman" w:hAnsi="Times New Roman" w:eastAsia="宋体" w:cs="Times New Roman"/>
        </w:rPr>
        <w:t>添加浓度分别为5 ng/mL、10 ng/mL、50 ng/mL，每个浓度平行测定</w:t>
      </w:r>
      <w:r>
        <w:rPr>
          <w:rFonts w:hint="eastAsia" w:ascii="Times New Roman" w:hAnsi="Times New Roman" w:eastAsia="宋体" w:cs="Times New Roman"/>
        </w:rPr>
        <w:t>5</w:t>
      </w:r>
      <w:r>
        <w:rPr>
          <w:rFonts w:ascii="Times New Roman" w:hAnsi="Times New Roman" w:eastAsia="宋体" w:cs="Times New Roman"/>
        </w:rPr>
        <w:t>次，连续重复测定三天。采用已建立的方法进行测定，</w:t>
      </w:r>
      <w:r>
        <w:rPr>
          <w:rFonts w:hint="eastAsia" w:ascii="Times New Roman" w:hAnsi="Times New Roman" w:eastAsia="宋体" w:cs="Times New Roman"/>
        </w:rPr>
        <w:t>各基质添加的</w:t>
      </w:r>
      <w:r>
        <w:rPr>
          <w:rFonts w:ascii="Times New Roman" w:hAnsi="Times New Roman" w:eastAsia="宋体" w:cs="Times New Roman"/>
        </w:rPr>
        <w:t>回收率、批间差和批内差结果见</w:t>
      </w:r>
      <w:r>
        <w:rPr>
          <w:rFonts w:hint="eastAsia" w:ascii="Times New Roman" w:hAnsi="Times New Roman" w:eastAsia="宋体" w:cs="Times New Roman"/>
        </w:rPr>
        <w:t>附录C，相关色谱图见附录D。</w:t>
      </w:r>
    </w:p>
    <w:p>
      <w:pPr>
        <w:pStyle w:val="50"/>
        <w:ind w:firstLine="420"/>
        <w:jc w:val="left"/>
        <w:rPr>
          <w:rFonts w:ascii="Times New Roman" w:hAnsi="Times New Roman" w:eastAsia="宋体" w:cs="Times New Roman"/>
          <w:sz w:val="21"/>
          <w:szCs w:val="21"/>
          <w:highlight w:val="yellow"/>
        </w:rPr>
      </w:pPr>
      <w:r>
        <w:rPr>
          <w:rFonts w:hint="eastAsia" w:ascii="Times New Roman" w:hAnsi="Times New Roman" w:eastAsia="宋体" w:cs="Times New Roman"/>
          <w:sz w:val="21"/>
          <w:szCs w:val="21"/>
        </w:rPr>
        <w:t>结果表明：本方法鸡、猪、牛养殖场污水在</w:t>
      </w:r>
      <w:r>
        <w:rPr>
          <w:rFonts w:ascii="Times New Roman" w:hAnsi="Times New Roman" w:eastAsia="宋体" w:cs="Times New Roman"/>
          <w:sz w:val="21"/>
          <w:szCs w:val="21"/>
        </w:rPr>
        <w:t>5 ng/mL、10 ng/mL、50 ng/mL添加浓度水平下</w:t>
      </w:r>
      <w:r>
        <w:rPr>
          <w:rFonts w:hint="eastAsia" w:ascii="Times New Roman" w:hAnsi="Times New Roman" w:eastAsia="宋体" w:cs="Times New Roman"/>
          <w:sz w:val="21"/>
          <w:szCs w:val="21"/>
        </w:rPr>
        <w:t>，</w:t>
      </w:r>
      <w:r>
        <w:rPr>
          <w:rFonts w:ascii="Times New Roman" w:hAnsi="Times New Roman" w:eastAsia="宋体" w:cs="Times New Roman"/>
          <w:sz w:val="21"/>
          <w:szCs w:val="21"/>
        </w:rPr>
        <w:t>四环素类、磺胺类和喹诺酮类</w:t>
      </w:r>
      <w:r>
        <w:rPr>
          <w:rFonts w:hint="eastAsia" w:ascii="Times New Roman" w:hAnsi="Times New Roman" w:eastAsia="宋体" w:cs="Times New Roman"/>
          <w:sz w:val="21"/>
          <w:szCs w:val="21"/>
        </w:rPr>
        <w:t>33种</w:t>
      </w:r>
      <w:r>
        <w:rPr>
          <w:rFonts w:ascii="Times New Roman" w:hAnsi="Times New Roman" w:eastAsia="宋体" w:cs="Times New Roman"/>
          <w:sz w:val="21"/>
          <w:szCs w:val="21"/>
        </w:rPr>
        <w:t>药物</w:t>
      </w:r>
      <w:r>
        <w:rPr>
          <w:rFonts w:hint="eastAsia" w:ascii="Times New Roman" w:hAnsi="Times New Roman" w:eastAsia="宋体" w:cs="Times New Roman"/>
          <w:sz w:val="21"/>
          <w:szCs w:val="21"/>
        </w:rPr>
        <w:t>平均回收率范围在6</w:t>
      </w:r>
      <w:r>
        <w:rPr>
          <w:rFonts w:ascii="Times New Roman" w:hAnsi="Times New Roman" w:eastAsia="宋体" w:cs="Times New Roman"/>
          <w:sz w:val="21"/>
          <w:szCs w:val="21"/>
        </w:rPr>
        <w:t>0</w:t>
      </w:r>
      <w:r>
        <w:rPr>
          <w:rFonts w:hint="eastAsia" w:ascii="Times New Roman" w:hAnsi="Times New Roman" w:eastAsia="宋体" w:cs="Times New Roman"/>
          <w:sz w:val="21"/>
          <w:szCs w:val="21"/>
        </w:rPr>
        <w:t>%～120%之间，</w:t>
      </w:r>
      <w:r>
        <w:rPr>
          <w:rFonts w:ascii="Times New Roman" w:hAnsi="Times New Roman" w:eastAsia="宋体" w:cs="Times New Roman"/>
          <w:sz w:val="21"/>
          <w:szCs w:val="21"/>
        </w:rPr>
        <w:t>批内变异系数RSD≤</w:t>
      </w:r>
      <w:r>
        <w:rPr>
          <w:rFonts w:hint="eastAsia" w:ascii="Times New Roman" w:hAnsi="Times New Roman" w:eastAsia="宋体" w:cs="Times New Roman"/>
          <w:sz w:val="21"/>
          <w:szCs w:val="21"/>
        </w:rPr>
        <w:t xml:space="preserve"> 20</w:t>
      </w:r>
      <w:r>
        <w:rPr>
          <w:rFonts w:ascii="Times New Roman" w:hAnsi="Times New Roman" w:eastAsia="宋体" w:cs="Times New Roman"/>
          <w:sz w:val="21"/>
          <w:szCs w:val="21"/>
        </w:rPr>
        <w:t>%；批间变异系数RSD≤</w:t>
      </w:r>
      <w:r>
        <w:rPr>
          <w:rFonts w:hint="eastAsia" w:ascii="Times New Roman" w:hAnsi="Times New Roman" w:eastAsia="宋体" w:cs="Times New Roman"/>
          <w:sz w:val="21"/>
          <w:szCs w:val="21"/>
        </w:rPr>
        <w:t xml:space="preserve"> 20</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p>
    <w:p>
      <w:pPr>
        <w:spacing w:line="480" w:lineRule="auto"/>
        <w:rPr>
          <w:rFonts w:ascii="Times New Roman" w:hAnsi="Times New Roman" w:eastAsia="宋体" w:cs="Times New Roman"/>
          <w:b/>
          <w:bCs/>
          <w:szCs w:val="21"/>
        </w:rPr>
      </w:pPr>
      <w:r>
        <w:rPr>
          <w:rFonts w:ascii="Times New Roman" w:hAnsi="Times New Roman" w:eastAsia="宋体" w:cs="Times New Roman"/>
          <w:b/>
          <w:bCs/>
          <w:szCs w:val="21"/>
        </w:rPr>
        <w:t>3.2.1.6.4</w:t>
      </w:r>
      <w:r>
        <w:rPr>
          <w:rFonts w:hint="eastAsia" w:ascii="Times New Roman" w:hAnsi="Times New Roman" w:eastAsia="宋体" w:cs="Times New Roman"/>
          <w:b/>
          <w:bCs/>
          <w:szCs w:val="21"/>
        </w:rPr>
        <w:t>标准溶液的稳定性</w:t>
      </w:r>
    </w:p>
    <w:p>
      <w:pPr>
        <w:spacing w:line="360" w:lineRule="auto"/>
        <w:ind w:firstLine="480"/>
        <w:rPr>
          <w:rFonts w:ascii="Times New Roman" w:hAnsi="Times New Roman" w:eastAsia="宋体" w:cs="Times New Roman"/>
        </w:rPr>
      </w:pPr>
      <w:r>
        <w:rPr>
          <w:rFonts w:hint="eastAsia" w:ascii="Times New Roman" w:hAnsi="Times New Roman" w:eastAsia="宋体" w:cs="Times New Roman"/>
        </w:rPr>
        <w:t>考察标准溶液稳定性的时间为六个月，在此期间内不定期反复进样，每次将-20℃保存的抗生素标准储备液（1m</w:t>
      </w:r>
      <w:r>
        <w:rPr>
          <w:rFonts w:ascii="Times New Roman" w:hAnsi="Times New Roman" w:eastAsia="宋体" w:cs="Times New Roman"/>
        </w:rPr>
        <w:t>g</w:t>
      </w:r>
      <w:r>
        <w:rPr>
          <w:rFonts w:hint="eastAsia" w:ascii="Times New Roman" w:hAnsi="Times New Roman" w:eastAsia="宋体" w:cs="Times New Roman"/>
        </w:rPr>
        <w:t>/mL）从冰箱取出，充分回温，</w:t>
      </w:r>
      <w:r>
        <w:rPr>
          <w:rFonts w:hint="eastAsia" w:ascii="Times New Roman" w:hAnsi="Times New Roman" w:eastAsia="宋体"/>
        </w:rPr>
        <w:t>配制成浓度为20</w:t>
      </w:r>
      <w:r>
        <w:rPr>
          <w:rFonts w:ascii="Times New Roman" w:hAnsi="Times New Roman" w:eastAsia="宋体"/>
        </w:rPr>
        <w:t xml:space="preserve"> μg/mL</w:t>
      </w:r>
      <w:r>
        <w:rPr>
          <w:rFonts w:hint="eastAsia" w:ascii="Times New Roman" w:hAnsi="Times New Roman" w:eastAsia="宋体"/>
        </w:rPr>
        <w:t>的混合标准中间液，</w:t>
      </w:r>
      <w:r>
        <w:rPr>
          <w:rFonts w:hint="eastAsia" w:ascii="Times New Roman" w:hAnsi="Times New Roman" w:eastAsia="宋体" w:cs="Times New Roman"/>
        </w:rPr>
        <w:t>逐级稀释至50</w:t>
      </w:r>
      <w:r>
        <w:rPr>
          <w:rFonts w:ascii="Times New Roman" w:hAnsi="Times New Roman" w:eastAsia="宋体" w:cs="Times New Roman"/>
        </w:rPr>
        <w:t xml:space="preserve"> </w:t>
      </w:r>
      <w:r>
        <w:rPr>
          <w:rFonts w:hint="eastAsia" w:ascii="Times New Roman" w:hAnsi="Times New Roman" w:eastAsia="宋体" w:cs="Times New Roman"/>
        </w:rPr>
        <w:t>n</w:t>
      </w:r>
      <w:r>
        <w:rPr>
          <w:rFonts w:ascii="Times New Roman" w:hAnsi="Times New Roman" w:eastAsia="宋体" w:cs="Times New Roman"/>
        </w:rPr>
        <w:t>g</w:t>
      </w:r>
      <w:r>
        <w:rPr>
          <w:rFonts w:hint="eastAsia" w:ascii="Times New Roman" w:hAnsi="Times New Roman" w:eastAsia="宋体" w:cs="Times New Roman"/>
        </w:rPr>
        <w:t>/mL进样分析。结果</w:t>
      </w:r>
      <w:r>
        <w:rPr>
          <w:rFonts w:ascii="Times New Roman" w:hAnsi="Times New Roman" w:eastAsia="宋体" w:cs="Times New Roman"/>
        </w:rPr>
        <w:t>表明</w:t>
      </w:r>
      <w:r>
        <w:rPr>
          <w:rFonts w:hint="eastAsia" w:ascii="Times New Roman" w:hAnsi="Times New Roman" w:eastAsia="宋体" w:cs="Times New Roman"/>
        </w:rPr>
        <w:t>，六个月内磺胺类、喹诺酮类抗生素混合标准储备液的峰响应未有明显变化，四环素类抗生素在一个月的时候，储备液的峰响应呈下降的的变化，因此磺胺类、喹诺酮类</w:t>
      </w:r>
      <w:r>
        <w:rPr>
          <w:rFonts w:ascii="Times New Roman" w:hAnsi="Times New Roman" w:eastAsia="宋体" w:cs="Times New Roman"/>
        </w:rPr>
        <w:t>抗生素</w:t>
      </w:r>
      <w:r>
        <w:rPr>
          <w:rFonts w:hint="eastAsia" w:ascii="Times New Roman" w:hAnsi="Times New Roman" w:eastAsia="宋体" w:cs="Times New Roman"/>
        </w:rPr>
        <w:t>标准</w:t>
      </w:r>
      <w:r>
        <w:rPr>
          <w:rFonts w:ascii="Times New Roman" w:hAnsi="Times New Roman" w:eastAsia="宋体" w:cs="Times New Roman"/>
        </w:rPr>
        <w:t>储备液（</w:t>
      </w:r>
      <w:r>
        <w:rPr>
          <w:rFonts w:hint="eastAsia" w:ascii="Times New Roman" w:hAnsi="Times New Roman" w:eastAsia="宋体" w:cs="Times New Roman"/>
        </w:rPr>
        <w:t>1</w:t>
      </w:r>
      <w:r>
        <w:rPr>
          <w:rFonts w:ascii="Times New Roman" w:hAnsi="Times New Roman" w:eastAsia="宋体" w:cs="Times New Roman"/>
        </w:rPr>
        <w:t xml:space="preserve"> mg/mL）置于-20℃下保存，有效期为</w:t>
      </w:r>
      <w:r>
        <w:rPr>
          <w:rFonts w:hint="eastAsia" w:ascii="Times New Roman" w:hAnsi="Times New Roman" w:eastAsia="宋体" w:cs="Times New Roman"/>
        </w:rPr>
        <w:t>六</w:t>
      </w:r>
      <w:r>
        <w:rPr>
          <w:rFonts w:ascii="Times New Roman" w:hAnsi="Times New Roman" w:eastAsia="宋体" w:cs="Times New Roman"/>
        </w:rPr>
        <w:t>个月</w:t>
      </w:r>
      <w:r>
        <w:rPr>
          <w:rFonts w:hint="eastAsia" w:ascii="Times New Roman" w:hAnsi="Times New Roman" w:eastAsia="宋体" w:cs="Times New Roman"/>
        </w:rPr>
        <w:t>，四环素类抗生素标准</w:t>
      </w:r>
      <w:r>
        <w:rPr>
          <w:rFonts w:ascii="Times New Roman" w:hAnsi="Times New Roman" w:eastAsia="宋体" w:cs="Times New Roman"/>
        </w:rPr>
        <w:t>储备液（</w:t>
      </w:r>
      <w:r>
        <w:rPr>
          <w:rFonts w:hint="eastAsia" w:ascii="Times New Roman" w:hAnsi="Times New Roman" w:eastAsia="宋体" w:cs="Times New Roman"/>
        </w:rPr>
        <w:t>1</w:t>
      </w:r>
      <w:r>
        <w:rPr>
          <w:rFonts w:ascii="Times New Roman" w:hAnsi="Times New Roman" w:eastAsia="宋体" w:cs="Times New Roman"/>
        </w:rPr>
        <w:t xml:space="preserve"> mg/mL）</w:t>
      </w:r>
      <w:r>
        <w:rPr>
          <w:rFonts w:hint="eastAsia" w:ascii="Times New Roman" w:hAnsi="Times New Roman" w:eastAsia="宋体" w:cs="Times New Roman"/>
        </w:rPr>
        <w:t>，</w:t>
      </w:r>
      <w:r>
        <w:rPr>
          <w:rFonts w:ascii="Times New Roman" w:hAnsi="Times New Roman" w:eastAsia="宋体" w:cs="Times New Roman"/>
        </w:rPr>
        <w:t>有效期为</w:t>
      </w:r>
      <w:r>
        <w:rPr>
          <w:rFonts w:hint="eastAsia" w:ascii="Times New Roman" w:hAnsi="Times New Roman" w:eastAsia="宋体" w:cs="Times New Roman"/>
        </w:rPr>
        <w:t>一</w:t>
      </w:r>
      <w:r>
        <w:rPr>
          <w:rFonts w:ascii="Times New Roman" w:hAnsi="Times New Roman" w:eastAsia="宋体" w:cs="Times New Roman"/>
        </w:rPr>
        <w:t>个月</w:t>
      </w:r>
      <w:r>
        <w:rPr>
          <w:rFonts w:hint="eastAsia" w:ascii="Times New Roman" w:hAnsi="Times New Roman" w:eastAsia="宋体" w:cs="Times New Roman"/>
        </w:rPr>
        <w:t>。相关结果见表C 4。</w:t>
      </w:r>
    </w:p>
    <w:p>
      <w:pPr>
        <w:spacing w:line="480" w:lineRule="auto"/>
        <w:rPr>
          <w:rFonts w:ascii="Times New Roman" w:hAnsi="Times New Roman" w:eastAsia="宋体" w:cs="Times New Roman"/>
          <w:b/>
          <w:bCs/>
          <w:szCs w:val="21"/>
        </w:rPr>
      </w:pPr>
      <w:r>
        <w:rPr>
          <w:rFonts w:ascii="Times New Roman" w:hAnsi="Times New Roman" w:eastAsia="宋体" w:cs="Times New Roman"/>
          <w:b/>
          <w:bCs/>
          <w:szCs w:val="21"/>
        </w:rPr>
        <w:t xml:space="preserve">3.2.1.6.5 </w:t>
      </w:r>
      <w:r>
        <w:rPr>
          <w:rFonts w:hint="eastAsia" w:ascii="Times New Roman" w:hAnsi="Times New Roman" w:eastAsia="宋体" w:cs="Times New Roman"/>
          <w:b/>
          <w:bCs/>
          <w:szCs w:val="21"/>
        </w:rPr>
        <w:t>不同实验室间的对比</w:t>
      </w:r>
    </w:p>
    <w:p>
      <w:pPr>
        <w:spacing w:line="44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委托</w:t>
      </w:r>
      <w:r>
        <w:rPr>
          <w:rFonts w:ascii="Times New Roman" w:hAnsi="Times New Roman" w:eastAsia="宋体" w:cs="Times New Roman"/>
          <w:szCs w:val="21"/>
        </w:rPr>
        <w:t>农业部</w:t>
      </w:r>
      <w:r>
        <w:rPr>
          <w:rFonts w:hint="eastAsia" w:ascii="Times New Roman" w:hAnsi="Times New Roman" w:eastAsia="宋体" w:cs="Times New Roman"/>
          <w:szCs w:val="21"/>
        </w:rPr>
        <w:t>中国农业科学院农产品加工研究所</w:t>
      </w:r>
      <w:r>
        <w:rPr>
          <w:rFonts w:ascii="Times New Roman" w:hAnsi="Times New Roman" w:eastAsia="宋体" w:cs="Times New Roman"/>
          <w:szCs w:val="21"/>
        </w:rPr>
        <w:t>、</w:t>
      </w:r>
      <w:r>
        <w:rPr>
          <w:rFonts w:hint="eastAsia" w:ascii="Times New Roman" w:hAnsi="Times New Roman" w:eastAsia="宋体" w:cs="Times New Roman"/>
          <w:szCs w:val="21"/>
        </w:rPr>
        <w:t>农业农村部农产品及加工品质量监督检验测试中心（天津）</w:t>
      </w:r>
      <w:r>
        <w:rPr>
          <w:rFonts w:ascii="Times New Roman" w:hAnsi="Times New Roman" w:eastAsia="宋体" w:cs="Times New Roman"/>
          <w:szCs w:val="21"/>
        </w:rPr>
        <w:t>、</w:t>
      </w:r>
      <w:r>
        <w:rPr>
          <w:rFonts w:hint="eastAsia" w:ascii="Times New Roman" w:hAnsi="Times New Roman" w:eastAsia="宋体" w:cs="Times New Roman"/>
          <w:szCs w:val="21"/>
        </w:rPr>
        <w:t>江苏省农业科学院农产品质量安全与营养研究所</w:t>
      </w:r>
      <w:r>
        <w:rPr>
          <w:rFonts w:ascii="Times New Roman" w:hAnsi="Times New Roman" w:eastAsia="宋体" w:cs="Times New Roman"/>
          <w:szCs w:val="21"/>
        </w:rPr>
        <w:t>三家单位从方法的线性、灵敏度、准确度和精密度等方面进行考察，结果表明</w:t>
      </w:r>
      <w:r>
        <w:rPr>
          <w:rFonts w:hint="eastAsia" w:ascii="Times New Roman" w:hAnsi="Times New Roman" w:eastAsia="宋体" w:cs="Times New Roman"/>
          <w:szCs w:val="21"/>
        </w:rPr>
        <w:t>四环素类、磺胺类和喹诺酮类</w:t>
      </w:r>
      <w:r>
        <w:rPr>
          <w:rFonts w:ascii="Times New Roman" w:hAnsi="Times New Roman" w:cs="Times New Roman"/>
        </w:rPr>
        <w:t>33</w:t>
      </w:r>
      <w:r>
        <w:rPr>
          <w:rFonts w:hint="eastAsia" w:ascii="Times New Roman" w:hAnsi="Times New Roman" w:cs="Times New Roman"/>
        </w:rPr>
        <w:t>种</w:t>
      </w:r>
      <w:r>
        <w:rPr>
          <w:rFonts w:hint="eastAsia" w:ascii="Times New Roman" w:hAnsi="Times New Roman" w:eastAsia="宋体" w:cs="Times New Roman"/>
          <w:szCs w:val="21"/>
        </w:rPr>
        <w:t>药物在养殖场污水</w:t>
      </w:r>
      <w:r>
        <w:rPr>
          <w:rFonts w:ascii="Times New Roman" w:hAnsi="Times New Roman" w:eastAsia="宋体" w:cs="Times New Roman"/>
          <w:szCs w:val="21"/>
        </w:rPr>
        <w:t>基质</w:t>
      </w:r>
      <w:r>
        <w:rPr>
          <w:rFonts w:hint="eastAsia" w:ascii="Times New Roman" w:hAnsi="Times New Roman" w:eastAsia="宋体" w:cs="Times New Roman"/>
          <w:szCs w:val="21"/>
        </w:rPr>
        <w:t>的添加回收实验中，</w:t>
      </w:r>
      <w:r>
        <w:rPr>
          <w:rFonts w:ascii="Times New Roman" w:hAnsi="Times New Roman" w:eastAsia="宋体" w:cs="Times New Roman"/>
          <w:szCs w:val="21"/>
        </w:rPr>
        <w:t>在不同实验室、不同操作人员、不同仪器的情况下，添加标准品浓度在</w:t>
      </w:r>
      <w:r>
        <w:rPr>
          <w:rFonts w:hint="eastAsia" w:ascii="Times New Roman" w:hAnsi="Times New Roman" w:eastAsia="宋体" w:cs="Times New Roman"/>
          <w:szCs w:val="21"/>
        </w:rPr>
        <w:t>5</w:t>
      </w:r>
      <w:r>
        <w:rPr>
          <w:rFonts w:ascii="Times New Roman" w:hAnsi="Times New Roman" w:eastAsia="宋体" w:cs="Times New Roman"/>
          <w:szCs w:val="21"/>
        </w:rPr>
        <w:t xml:space="preserve"> ng/mL</w:t>
      </w:r>
      <w:r>
        <w:rPr>
          <w:rFonts w:ascii="Times New Roman" w:hAnsi="Times New Roman" w:cs="Times New Roman"/>
          <w:szCs w:val="21"/>
        </w:rPr>
        <w:t xml:space="preserve"> </w:t>
      </w:r>
      <w:r>
        <w:rPr>
          <w:rFonts w:ascii="Times New Roman" w:hAnsi="Times New Roman" w:eastAsia="宋体" w:cs="Times New Roman"/>
          <w:szCs w:val="21"/>
        </w:rPr>
        <w:t>~ 50 ng/mL的水平下测得的平均回收率范围均在60 ~120%之间，变异系数均不超过2</w:t>
      </w:r>
      <w:r>
        <w:rPr>
          <w:rFonts w:hint="eastAsia" w:ascii="Times New Roman" w:hAnsi="Times New Roman" w:eastAsia="宋体" w:cs="Times New Roman"/>
          <w:szCs w:val="21"/>
        </w:rPr>
        <w:t>0</w:t>
      </w:r>
      <w:r>
        <w:rPr>
          <w:rFonts w:ascii="Times New Roman" w:hAnsi="Times New Roman" w:eastAsia="宋体" w:cs="Times New Roman"/>
          <w:szCs w:val="21"/>
        </w:rPr>
        <w:t>%。</w:t>
      </w:r>
      <w:r>
        <w:rPr>
          <w:rFonts w:hint="eastAsia" w:ascii="Times New Roman" w:hAnsi="Times New Roman" w:eastAsia="宋体" w:cs="Times New Roman"/>
          <w:szCs w:val="21"/>
        </w:rPr>
        <w:t>具体结果为：</w:t>
      </w:r>
    </w:p>
    <w:p>
      <w:pPr>
        <w:spacing w:line="44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农业部</w:t>
      </w:r>
      <w:r>
        <w:rPr>
          <w:rFonts w:hint="eastAsia" w:ascii="Times New Roman" w:hAnsi="Times New Roman" w:eastAsia="宋体" w:cs="Times New Roman"/>
          <w:szCs w:val="21"/>
        </w:rPr>
        <w:t>中国农业科学院农产品加工研究所：所有药物标准曲线相关系数均大于0</w:t>
      </w:r>
      <w:r>
        <w:rPr>
          <w:rFonts w:ascii="Times New Roman" w:hAnsi="Times New Roman" w:eastAsia="宋体" w:cs="Times New Roman"/>
          <w:szCs w:val="21"/>
        </w:rPr>
        <w:t>.99</w:t>
      </w:r>
      <w:r>
        <w:rPr>
          <w:rFonts w:hint="eastAsia" w:ascii="Times New Roman" w:hAnsi="Times New Roman" w:eastAsia="宋体" w:cs="Times New Roman"/>
          <w:szCs w:val="21"/>
        </w:rPr>
        <w:t>。3类药物添加平均回收率在6</w:t>
      </w:r>
      <w:r>
        <w:rPr>
          <w:rFonts w:ascii="Times New Roman" w:hAnsi="Times New Roman" w:eastAsia="宋体" w:cs="Times New Roman"/>
          <w:szCs w:val="21"/>
        </w:rPr>
        <w:t>4.62%</w:t>
      </w:r>
      <w:r>
        <w:rPr>
          <w:rFonts w:hint="eastAsia" w:ascii="Times New Roman" w:hAnsi="Times New Roman" w:eastAsia="宋体" w:cs="Times New Roman"/>
          <w:szCs w:val="21"/>
        </w:rPr>
        <w:t>～8</w:t>
      </w:r>
      <w:r>
        <w:rPr>
          <w:rFonts w:ascii="Times New Roman" w:hAnsi="Times New Roman" w:eastAsia="宋体" w:cs="Times New Roman"/>
          <w:szCs w:val="21"/>
        </w:rPr>
        <w:t>8.97%</w:t>
      </w:r>
      <w:r>
        <w:rPr>
          <w:rFonts w:hint="eastAsia" w:ascii="Times New Roman" w:hAnsi="Times New Roman" w:eastAsia="宋体" w:cs="Times New Roman"/>
          <w:szCs w:val="21"/>
        </w:rPr>
        <w:t>，批间变异系数最高为1</w:t>
      </w:r>
      <w:r>
        <w:rPr>
          <w:rFonts w:ascii="Times New Roman" w:hAnsi="Times New Roman" w:eastAsia="宋体" w:cs="Times New Roman"/>
          <w:szCs w:val="21"/>
        </w:rPr>
        <w:t>4.11%</w:t>
      </w:r>
      <w:r>
        <w:rPr>
          <w:rFonts w:hint="eastAsia" w:ascii="Times New Roman" w:hAnsi="Times New Roman" w:eastAsia="宋体" w:cs="Times New Roman"/>
          <w:szCs w:val="21"/>
        </w:rPr>
        <w:t>。</w:t>
      </w:r>
    </w:p>
    <w:p>
      <w:pPr>
        <w:spacing w:line="44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农业农村部农产品及加工品质量监督检验测试中心（天津）：所有药物标准曲线相关系数均大于0</w:t>
      </w:r>
      <w:r>
        <w:rPr>
          <w:rFonts w:ascii="Times New Roman" w:hAnsi="Times New Roman" w:eastAsia="宋体" w:cs="Times New Roman"/>
          <w:szCs w:val="21"/>
        </w:rPr>
        <w:t>.99</w:t>
      </w:r>
      <w:r>
        <w:rPr>
          <w:rFonts w:hint="eastAsia" w:ascii="Times New Roman" w:hAnsi="Times New Roman" w:eastAsia="宋体" w:cs="Times New Roman"/>
          <w:szCs w:val="21"/>
        </w:rPr>
        <w:t>。3类药物添加平均回收率在</w:t>
      </w:r>
      <w:r>
        <w:rPr>
          <w:rFonts w:ascii="Times New Roman" w:hAnsi="Times New Roman" w:eastAsia="宋体" w:cs="Times New Roman"/>
          <w:szCs w:val="21"/>
        </w:rPr>
        <w:t>63.56%</w:t>
      </w:r>
      <w:r>
        <w:rPr>
          <w:rFonts w:hint="eastAsia" w:ascii="Times New Roman" w:hAnsi="Times New Roman" w:eastAsia="宋体" w:cs="Times New Roman"/>
          <w:szCs w:val="21"/>
        </w:rPr>
        <w:t>～</w:t>
      </w:r>
      <w:r>
        <w:rPr>
          <w:rFonts w:ascii="Times New Roman" w:hAnsi="Times New Roman" w:eastAsia="宋体" w:cs="Times New Roman"/>
          <w:szCs w:val="21"/>
        </w:rPr>
        <w:t>87.28%</w:t>
      </w:r>
      <w:r>
        <w:rPr>
          <w:rFonts w:hint="eastAsia" w:ascii="Times New Roman" w:hAnsi="Times New Roman" w:eastAsia="宋体" w:cs="Times New Roman"/>
          <w:szCs w:val="21"/>
        </w:rPr>
        <w:t>，批间变异系数最高为</w:t>
      </w:r>
      <w:r>
        <w:rPr>
          <w:rFonts w:ascii="Times New Roman" w:hAnsi="Times New Roman" w:eastAsia="宋体" w:cs="Times New Roman"/>
          <w:szCs w:val="21"/>
        </w:rPr>
        <w:t>13.60%</w:t>
      </w:r>
      <w:r>
        <w:rPr>
          <w:rFonts w:hint="eastAsia" w:ascii="Times New Roman" w:hAnsi="Times New Roman" w:eastAsia="宋体" w:cs="Times New Roman"/>
          <w:szCs w:val="21"/>
        </w:rPr>
        <w:t>。</w:t>
      </w:r>
    </w:p>
    <w:p>
      <w:pPr>
        <w:spacing w:line="44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江苏省农业科学院农产品质量安全与营养研究所：所有药物标准曲线相关系数均大于0</w:t>
      </w:r>
      <w:r>
        <w:rPr>
          <w:rFonts w:ascii="Times New Roman" w:hAnsi="Times New Roman" w:eastAsia="宋体" w:cs="Times New Roman"/>
          <w:szCs w:val="21"/>
        </w:rPr>
        <w:t>.99</w:t>
      </w:r>
      <w:r>
        <w:rPr>
          <w:rFonts w:hint="eastAsia" w:ascii="Times New Roman" w:hAnsi="Times New Roman" w:eastAsia="宋体" w:cs="Times New Roman"/>
          <w:szCs w:val="21"/>
        </w:rPr>
        <w:t>。3类药物添加平均回收率在</w:t>
      </w:r>
      <w:r>
        <w:rPr>
          <w:rFonts w:ascii="Times New Roman" w:hAnsi="Times New Roman" w:eastAsia="宋体" w:cs="Times New Roman"/>
          <w:szCs w:val="21"/>
        </w:rPr>
        <w:t>62.64%</w:t>
      </w:r>
      <w:r>
        <w:rPr>
          <w:rFonts w:hint="eastAsia" w:ascii="Times New Roman" w:hAnsi="Times New Roman" w:eastAsia="宋体" w:cs="Times New Roman"/>
          <w:szCs w:val="21"/>
        </w:rPr>
        <w:t>～</w:t>
      </w:r>
      <w:r>
        <w:rPr>
          <w:rFonts w:ascii="Times New Roman" w:hAnsi="Times New Roman" w:eastAsia="宋体" w:cs="Times New Roman"/>
          <w:szCs w:val="21"/>
        </w:rPr>
        <w:t>90.19%</w:t>
      </w:r>
      <w:r>
        <w:rPr>
          <w:rFonts w:hint="eastAsia" w:ascii="Times New Roman" w:hAnsi="Times New Roman" w:eastAsia="宋体" w:cs="Times New Roman"/>
          <w:szCs w:val="21"/>
        </w:rPr>
        <w:t>，批间变异系数最高为</w:t>
      </w:r>
      <w:r>
        <w:rPr>
          <w:rFonts w:ascii="Times New Roman" w:hAnsi="Times New Roman" w:eastAsia="宋体" w:cs="Times New Roman"/>
          <w:szCs w:val="21"/>
        </w:rPr>
        <w:t>13.17%</w:t>
      </w:r>
      <w:r>
        <w:rPr>
          <w:rFonts w:hint="eastAsia" w:ascii="Times New Roman" w:hAnsi="Times New Roman" w:eastAsia="宋体" w:cs="Times New Roman"/>
          <w:szCs w:val="21"/>
        </w:rPr>
        <w:t>。</w:t>
      </w:r>
    </w:p>
    <w:p>
      <w:pPr>
        <w:spacing w:line="440" w:lineRule="exact"/>
        <w:ind w:firstLine="420" w:firstLineChars="200"/>
        <w:jc w:val="left"/>
        <w:rPr>
          <w:rFonts w:ascii="Times New Roman" w:hAnsi="Times New Roman" w:eastAsia="宋体" w:cs="Times New Roman"/>
          <w:szCs w:val="21"/>
        </w:rPr>
      </w:pPr>
    </w:p>
    <w:p>
      <w:pPr>
        <w:spacing w:line="44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结果表明本方法设计合理，实用有效，适用于</w:t>
      </w:r>
      <w:r>
        <w:rPr>
          <w:rFonts w:hint="eastAsia" w:ascii="Times New Roman" w:hAnsi="Times New Roman" w:eastAsia="宋体" w:cs="Times New Roman"/>
          <w:szCs w:val="21"/>
        </w:rPr>
        <w:t>养殖场污水</w:t>
      </w:r>
      <w:r>
        <w:rPr>
          <w:rFonts w:ascii="Times New Roman" w:hAnsi="Times New Roman" w:eastAsia="宋体" w:cs="Times New Roman"/>
          <w:szCs w:val="21"/>
        </w:rPr>
        <w:t>基质中</w:t>
      </w:r>
      <w:r>
        <w:rPr>
          <w:rFonts w:hint="eastAsia" w:ascii="Times New Roman" w:hAnsi="Times New Roman" w:eastAsia="宋体" w:cs="Times New Roman"/>
          <w:szCs w:val="21"/>
        </w:rPr>
        <w:t>四环素类、磺胺类和喹诺酮类</w:t>
      </w:r>
      <w:r>
        <w:rPr>
          <w:rFonts w:ascii="Times New Roman" w:hAnsi="Times New Roman" w:cs="Times New Roman"/>
        </w:rPr>
        <w:t>33</w:t>
      </w:r>
      <w:r>
        <w:rPr>
          <w:rFonts w:hint="eastAsia" w:ascii="Times New Roman" w:hAnsi="Times New Roman" w:cs="Times New Roman"/>
        </w:rPr>
        <w:t>种</w:t>
      </w:r>
      <w:r>
        <w:rPr>
          <w:rFonts w:hint="eastAsia" w:ascii="Times New Roman" w:hAnsi="Times New Roman" w:eastAsia="宋体" w:cs="Times New Roman"/>
          <w:szCs w:val="21"/>
        </w:rPr>
        <w:t>药物的</w:t>
      </w:r>
      <w:r>
        <w:rPr>
          <w:rFonts w:ascii="Times New Roman" w:hAnsi="Times New Roman" w:eastAsia="宋体" w:cs="Times New Roman"/>
          <w:szCs w:val="21"/>
        </w:rPr>
        <w:t>测定。</w:t>
      </w:r>
    </w:p>
    <w:p>
      <w:pPr>
        <w:spacing w:line="480" w:lineRule="auto"/>
        <w:rPr>
          <w:rFonts w:ascii="Times New Roman" w:hAnsi="Times New Roman" w:eastAsia="宋体" w:cs="Times New Roman"/>
          <w:b/>
          <w:bCs/>
          <w:sz w:val="28"/>
          <w:szCs w:val="28"/>
        </w:rPr>
      </w:pPr>
      <w:r>
        <w:rPr>
          <w:rFonts w:ascii="Times New Roman" w:hAnsi="Times New Roman" w:eastAsia="宋体" w:cs="Times New Roman"/>
          <w:b/>
          <w:bCs/>
          <w:sz w:val="28"/>
          <w:szCs w:val="28"/>
        </w:rPr>
        <w:t>3.</w:t>
      </w:r>
      <w:r>
        <w:rPr>
          <w:rFonts w:hint="eastAsia" w:ascii="Times New Roman" w:hAnsi="Times New Roman" w:eastAsia="宋体" w:cs="Times New Roman"/>
          <w:b/>
          <w:bCs/>
          <w:sz w:val="28"/>
          <w:szCs w:val="28"/>
        </w:rPr>
        <w:t>2.2</w:t>
      </w:r>
      <w:r>
        <w:rPr>
          <w:rFonts w:ascii="Times New Roman" w:hAnsi="Times New Roman" w:eastAsia="宋体" w:cs="Times New Roman"/>
          <w:b/>
          <w:bCs/>
          <w:sz w:val="28"/>
          <w:szCs w:val="28"/>
        </w:rPr>
        <w:t xml:space="preserve"> 结论</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szCs w:val="21"/>
        </w:rPr>
        <w:t>利用乙腈和甲醇混合液在弱酸性条件下从养殖场污水中提取四环素类、磺胺类和喹诺酮类</w:t>
      </w:r>
      <w:r>
        <w:rPr>
          <w:rFonts w:ascii="Times New Roman" w:hAnsi="Times New Roman" w:cs="Times New Roman"/>
        </w:rPr>
        <w:t>33种</w:t>
      </w:r>
      <w:r>
        <w:rPr>
          <w:rFonts w:ascii="Times New Roman" w:hAnsi="Times New Roman" w:eastAsia="宋体" w:cs="Times New Roman"/>
          <w:szCs w:val="21"/>
        </w:rPr>
        <w:t>化合物，QuEChERS方法净化，用液相色谱-串联质谱进行检测</w:t>
      </w:r>
      <w:r>
        <w:rPr>
          <w:rFonts w:ascii="Times New Roman" w:hAnsi="Times New Roman" w:eastAsia="宋体" w:cs="Times New Roman"/>
        </w:rPr>
        <w:t>，</w:t>
      </w:r>
      <w:r>
        <w:rPr>
          <w:rFonts w:ascii="Times New Roman" w:hAnsi="Times New Roman" w:eastAsia="宋体" w:cs="Times New Roman"/>
          <w:szCs w:val="21"/>
        </w:rPr>
        <w:t>外标法定量</w:t>
      </w:r>
      <w:r>
        <w:rPr>
          <w:rFonts w:ascii="Times New Roman" w:hAnsi="Times New Roman" w:eastAsia="宋体" w:cs="Times New Roman"/>
        </w:rPr>
        <w:t>。建立了针对</w:t>
      </w:r>
      <w:bookmarkStart w:id="3" w:name="_Hlk535922922"/>
      <w:r>
        <w:rPr>
          <w:rFonts w:ascii="Times New Roman" w:hAnsi="Times New Roman" w:cs="Times New Roman"/>
        </w:rPr>
        <w:t>33种</w:t>
      </w:r>
      <w:r>
        <w:rPr>
          <w:rFonts w:ascii="Times New Roman" w:hAnsi="Times New Roman" w:eastAsia="宋体" w:cs="Times New Roman"/>
          <w:szCs w:val="21"/>
        </w:rPr>
        <w:t>四环素类、磺胺类和喹诺酮类药物</w:t>
      </w:r>
      <w:bookmarkEnd w:id="3"/>
      <w:r>
        <w:rPr>
          <w:rFonts w:ascii="Times New Roman" w:hAnsi="Times New Roman" w:eastAsia="宋体" w:cs="Times New Roman"/>
          <w:szCs w:val="21"/>
        </w:rPr>
        <w:t>的</w:t>
      </w:r>
      <w:r>
        <w:rPr>
          <w:rFonts w:ascii="Times New Roman" w:hAnsi="Times New Roman" w:eastAsia="宋体" w:cs="Times New Roman"/>
        </w:rPr>
        <w:t>定量方法，方法高效，可操作性强，具有较好的选择性、精密度和灵敏度。因此该标准可作为农业行业标准正式颁布后推广使用。</w:t>
      </w:r>
    </w:p>
    <w:p>
      <w:pPr>
        <w:spacing w:line="580" w:lineRule="exact"/>
        <w:rPr>
          <w:rFonts w:ascii="Times New Roman" w:hAnsi="Times New Roman" w:eastAsia="黑体" w:cs="Times New Roman"/>
          <w:sz w:val="30"/>
        </w:rPr>
      </w:pPr>
      <w:r>
        <w:rPr>
          <w:rFonts w:ascii="Times New Roman" w:hAnsi="Times New Roman" w:eastAsia="黑体" w:cs="Times New Roman"/>
          <w:sz w:val="30"/>
        </w:rPr>
        <w:t>四、采用国际标准</w:t>
      </w:r>
    </w:p>
    <w:p>
      <w:pPr>
        <w:spacing w:line="360" w:lineRule="auto"/>
        <w:ind w:firstLine="420" w:firstLineChars="200"/>
        <w:rPr>
          <w:rFonts w:ascii="Times New Roman" w:hAnsi="Times New Roman" w:eastAsia="宋体" w:cs="Times New Roman"/>
        </w:rPr>
      </w:pPr>
      <w:r>
        <w:rPr>
          <w:rFonts w:hint="eastAsia" w:ascii="Times New Roman" w:hAnsi="Times New Roman" w:eastAsia="宋体" w:cs="Times New Roman"/>
        </w:rPr>
        <w:t>经查，国际和国外均没有《畜禽养殖污水中四环素类、磺胺类和喹诺酮类药物残留量的测定  液相色谱-串联质谱法》此类标准，本标准不存在采标问题。</w:t>
      </w:r>
    </w:p>
    <w:p>
      <w:pPr>
        <w:spacing w:line="580" w:lineRule="exact"/>
        <w:rPr>
          <w:rFonts w:ascii="Times New Roman" w:hAnsi="Times New Roman" w:eastAsia="黑体" w:cs="Times New Roman"/>
          <w:sz w:val="30"/>
        </w:rPr>
      </w:pPr>
      <w:r>
        <w:rPr>
          <w:rFonts w:ascii="Times New Roman" w:hAnsi="Times New Roman" w:eastAsia="黑体" w:cs="Times New Roman"/>
          <w:sz w:val="30"/>
        </w:rPr>
        <w:t>五、与现行法律法规和强制性标准的关系</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在标准的制订过程中严格贯彻</w:t>
      </w:r>
      <w:r>
        <w:rPr>
          <w:rFonts w:hint="eastAsia" w:ascii="Times New Roman" w:hAnsi="Times New Roman" w:eastAsia="宋体" w:cs="Times New Roman"/>
        </w:rPr>
        <w:t>《中华人民共和国畜牧法》《中华人民共和国环境保护法》《畜禽规模养殖污染防治条例》等相关法律法规</w:t>
      </w:r>
      <w:r>
        <w:rPr>
          <w:rFonts w:ascii="Times New Roman" w:hAnsi="Times New Roman" w:eastAsia="宋体" w:cs="Times New Roman"/>
        </w:rPr>
        <w:t>，严格执行</w:t>
      </w:r>
      <w:r>
        <w:rPr>
          <w:rFonts w:hint="eastAsia" w:ascii="Times New Roman" w:hAnsi="Times New Roman" w:eastAsia="宋体" w:cs="Times New Roman"/>
        </w:rPr>
        <w:t>GB 18596-2001 《畜禽养殖业污染物排放标准》</w:t>
      </w:r>
      <w:r>
        <w:rPr>
          <w:rFonts w:ascii="Times New Roman" w:hAnsi="Times New Roman" w:eastAsia="宋体" w:cs="Times New Roman"/>
        </w:rPr>
        <w:t>强制性国家标准。与有关的</w:t>
      </w:r>
      <w:r>
        <w:rPr>
          <w:rFonts w:hint="eastAsia" w:ascii="Times New Roman" w:hAnsi="Times New Roman" w:eastAsia="宋体" w:cs="Times New Roman"/>
        </w:rPr>
        <w:t>GB/T 25171-2010 《畜禽养殖废弃物管理术语》和GB/T 27522-2011 《畜禽养殖污水采样技术规范》等有关推荐性</w:t>
      </w:r>
      <w:r>
        <w:rPr>
          <w:rFonts w:ascii="Times New Roman" w:hAnsi="Times New Roman" w:eastAsia="宋体" w:cs="Times New Roman"/>
        </w:rPr>
        <w:t>标准标准相衔接，遵循了政策性和协调统一性的原则。</w:t>
      </w:r>
    </w:p>
    <w:p>
      <w:pPr>
        <w:spacing w:line="580" w:lineRule="exact"/>
        <w:rPr>
          <w:rFonts w:ascii="Times New Roman" w:hAnsi="Times New Roman" w:eastAsia="黑体" w:cs="Times New Roman"/>
          <w:sz w:val="30"/>
        </w:rPr>
      </w:pPr>
      <w:r>
        <w:rPr>
          <w:rFonts w:ascii="Times New Roman" w:hAnsi="Times New Roman" w:eastAsia="黑体" w:cs="Times New Roman"/>
          <w:sz w:val="30"/>
        </w:rPr>
        <w:t>六、重大分歧意见的处理经过和依据</w:t>
      </w:r>
    </w:p>
    <w:p>
      <w:pPr>
        <w:spacing w:line="360" w:lineRule="auto"/>
        <w:ind w:firstLine="420" w:firstLineChars="200"/>
        <w:rPr>
          <w:rFonts w:ascii="Times New Roman" w:hAnsi="Times New Roman" w:eastAsia="宋体" w:cs="Times New Roman"/>
        </w:rPr>
      </w:pPr>
      <w:r>
        <w:rPr>
          <w:rFonts w:hint="eastAsia" w:ascii="Times New Roman" w:hAnsi="Times New Roman" w:eastAsia="宋体" w:cs="Times New Roman"/>
        </w:rPr>
        <w:t>本标准制定过程中不存在重大分歧意见</w:t>
      </w:r>
      <w:r>
        <w:rPr>
          <w:rFonts w:ascii="Times New Roman" w:hAnsi="Times New Roman" w:eastAsia="宋体" w:cs="Times New Roman"/>
        </w:rPr>
        <w:t>。</w:t>
      </w:r>
    </w:p>
    <w:p>
      <w:pPr>
        <w:spacing w:line="580" w:lineRule="exact"/>
        <w:rPr>
          <w:rFonts w:ascii="Times New Roman" w:hAnsi="Times New Roman" w:eastAsia="黑体" w:cs="Times New Roman"/>
          <w:sz w:val="30"/>
        </w:rPr>
      </w:pPr>
      <w:r>
        <w:rPr>
          <w:rFonts w:ascii="Times New Roman" w:hAnsi="Times New Roman" w:eastAsia="黑体" w:cs="Times New Roman"/>
          <w:sz w:val="30"/>
        </w:rPr>
        <w:t>七、标准作为强制性或推荐性标准的意见</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本标准为化学分析方法标准，并不涉及有关国家安全、保护人体健康和人身财产安全、环境质量要求等有关强制性地方标准或强制性条文等的八项要求之一。因此，建议将本标准作为推荐性</w:t>
      </w:r>
      <w:bookmarkStart w:id="11" w:name="_GoBack"/>
      <w:bookmarkEnd w:id="11"/>
      <w:r>
        <w:rPr>
          <w:rFonts w:ascii="Times New Roman" w:hAnsi="Times New Roman" w:eastAsia="宋体" w:cs="Times New Roman"/>
        </w:rPr>
        <w:t>标准颁布实施。</w:t>
      </w:r>
    </w:p>
    <w:p>
      <w:pPr>
        <w:spacing w:line="580" w:lineRule="exact"/>
        <w:rPr>
          <w:rFonts w:ascii="Times New Roman" w:hAnsi="Times New Roman" w:eastAsia="黑体" w:cs="Times New Roman"/>
          <w:sz w:val="30"/>
        </w:rPr>
      </w:pPr>
      <w:r>
        <w:rPr>
          <w:rFonts w:ascii="Times New Roman" w:hAnsi="Times New Roman" w:eastAsia="黑体" w:cs="Times New Roman"/>
          <w:sz w:val="30"/>
        </w:rPr>
        <w:t>八、贯彻标准的要求和措施建议</w:t>
      </w:r>
    </w:p>
    <w:p>
      <w:pPr>
        <w:numPr>
          <w:ilvl w:val="0"/>
          <w:numId w:val="4"/>
        </w:numPr>
        <w:spacing w:line="360" w:lineRule="auto"/>
        <w:rPr>
          <w:rFonts w:ascii="Times New Roman" w:hAnsi="Times New Roman" w:eastAsia="宋体" w:cs="Times New Roman"/>
        </w:rPr>
      </w:pPr>
      <w:r>
        <w:rPr>
          <w:rFonts w:ascii="Times New Roman" w:hAnsi="Times New Roman" w:eastAsia="宋体" w:cs="Times New Roman"/>
        </w:rPr>
        <w:t>在目前各级政府非常重视食品安全的前提下，在各级政府部门的食品安全抽查、检查中应积极利用和创造各种渠道宣贯本标准。</w:t>
      </w:r>
    </w:p>
    <w:p>
      <w:pPr>
        <w:numPr>
          <w:ilvl w:val="0"/>
          <w:numId w:val="4"/>
        </w:numPr>
        <w:spacing w:line="360" w:lineRule="auto"/>
        <w:rPr>
          <w:rFonts w:ascii="Times New Roman" w:hAnsi="Times New Roman" w:eastAsia="宋体" w:cs="Times New Roman"/>
        </w:rPr>
      </w:pPr>
      <w:r>
        <w:rPr>
          <w:rFonts w:ascii="Times New Roman" w:hAnsi="Times New Roman" w:eastAsia="宋体" w:cs="Times New Roman"/>
        </w:rPr>
        <w:t>举办质量监督检验、科研、生产等相关人员参加的标准宣贯培训班。</w:t>
      </w:r>
    </w:p>
    <w:p>
      <w:pPr>
        <w:numPr>
          <w:ilvl w:val="0"/>
          <w:numId w:val="4"/>
        </w:numPr>
        <w:spacing w:line="360" w:lineRule="auto"/>
        <w:rPr>
          <w:rFonts w:ascii="Times New Roman" w:hAnsi="Times New Roman" w:eastAsia="宋体" w:cs="Times New Roman"/>
        </w:rPr>
      </w:pPr>
      <w:r>
        <w:rPr>
          <w:rFonts w:hint="eastAsia" w:ascii="Times New Roman" w:hAnsi="Times New Roman" w:eastAsia="宋体" w:cs="Times New Roman"/>
        </w:rPr>
        <w:t>标准从发布到实施6个月执行期。</w:t>
      </w:r>
    </w:p>
    <w:p>
      <w:pPr>
        <w:spacing w:line="580" w:lineRule="exact"/>
        <w:rPr>
          <w:rFonts w:ascii="Times New Roman" w:hAnsi="Times New Roman" w:eastAsia="黑体" w:cs="Times New Roman"/>
          <w:sz w:val="30"/>
        </w:rPr>
      </w:pPr>
      <w:r>
        <w:rPr>
          <w:rFonts w:ascii="Times New Roman" w:hAnsi="Times New Roman" w:eastAsia="黑体" w:cs="Times New Roman"/>
          <w:sz w:val="30"/>
        </w:rPr>
        <w:t>九、废止现行有关标准的建议</w:t>
      </w:r>
    </w:p>
    <w:p>
      <w:pPr>
        <w:spacing w:line="360" w:lineRule="auto"/>
        <w:ind w:firstLine="420" w:firstLineChars="200"/>
        <w:rPr>
          <w:rFonts w:ascii="Times New Roman" w:hAnsi="Times New Roman" w:eastAsia="宋体" w:cs="Times New Roman"/>
        </w:rPr>
      </w:pPr>
      <w:r>
        <w:rPr>
          <w:rFonts w:hint="eastAsia" w:ascii="Times New Roman" w:hAnsi="Times New Roman" w:eastAsia="宋体" w:cs="Times New Roman"/>
        </w:rPr>
        <w:t>由于目前无相关标准，因此不存在代替或废止现行标准问题</w:t>
      </w:r>
      <w:r>
        <w:rPr>
          <w:rFonts w:ascii="Times New Roman" w:hAnsi="Times New Roman" w:eastAsia="宋体" w:cs="Times New Roman"/>
        </w:rPr>
        <w:t>。</w:t>
      </w:r>
    </w:p>
    <w:p>
      <w:pPr>
        <w:spacing w:line="580" w:lineRule="exact"/>
        <w:rPr>
          <w:rFonts w:ascii="Times New Roman" w:hAnsi="Times New Roman" w:eastAsia="黑体" w:cs="Times New Roman"/>
          <w:sz w:val="30"/>
        </w:rPr>
      </w:pPr>
      <w:r>
        <w:rPr>
          <w:rFonts w:ascii="Times New Roman" w:hAnsi="Times New Roman" w:eastAsia="黑体" w:cs="Times New Roman"/>
          <w:sz w:val="30"/>
        </w:rPr>
        <w:t>十、其他应予说明的事项</w:t>
      </w:r>
    </w:p>
    <w:p>
      <w:pPr>
        <w:spacing w:line="360" w:lineRule="auto"/>
        <w:ind w:firstLine="420" w:firstLineChars="200"/>
        <w:rPr>
          <w:rFonts w:ascii="Times New Roman" w:hAnsi="Times New Roman" w:eastAsia="宋体" w:cs="Times New Roman"/>
        </w:rPr>
      </w:pPr>
      <w:r>
        <w:rPr>
          <w:rFonts w:ascii="Times New Roman" w:hAnsi="Times New Roman" w:eastAsia="宋体" w:cs="Times New Roman"/>
        </w:rPr>
        <w:t>无</w:t>
      </w:r>
      <w:r>
        <w:rPr>
          <w:rFonts w:hint="eastAsia" w:ascii="Times New Roman" w:hAnsi="Times New Roman" w:eastAsia="宋体" w:cs="Times New Roman"/>
        </w:rPr>
        <w:t>其他应予说明的事项</w:t>
      </w:r>
      <w:r>
        <w:rPr>
          <w:rFonts w:ascii="Times New Roman" w:hAnsi="Times New Roman" w:eastAsia="宋体" w:cs="Times New Roman"/>
        </w:rPr>
        <w:t>。</w:t>
      </w:r>
    </w:p>
    <w:p>
      <w:pPr>
        <w:spacing w:line="480" w:lineRule="auto"/>
        <w:rPr>
          <w:rFonts w:ascii="Times New Roman" w:hAnsi="Times New Roman" w:eastAsia="宋体" w:cs="Times New Roman"/>
          <w:b/>
          <w:bCs/>
          <w:sz w:val="30"/>
          <w:szCs w:val="30"/>
        </w:rPr>
      </w:pPr>
      <w:r>
        <w:rPr>
          <w:rFonts w:ascii="Times New Roman" w:hAnsi="Times New Roman" w:eastAsia="宋体" w:cs="Times New Roman"/>
          <w:b/>
          <w:bCs/>
          <w:sz w:val="30"/>
          <w:szCs w:val="30"/>
        </w:rPr>
        <w:t>参考文献</w:t>
      </w:r>
    </w:p>
    <w:p>
      <w:pPr>
        <w:spacing w:line="360" w:lineRule="auto"/>
        <w:rPr>
          <w:rFonts w:ascii="Times New Roman" w:hAnsi="Times New Roman" w:eastAsia="宋体" w:cs="Times New Roman"/>
          <w:sz w:val="20"/>
          <w:szCs w:val="20"/>
        </w:rPr>
      </w:pPr>
      <w:r>
        <w:rPr>
          <w:rFonts w:ascii="Times New Roman" w:hAnsi="Times New Roman" w:eastAsia="宋体" w:cs="Times New Roman"/>
          <w:sz w:val="20"/>
          <w:szCs w:val="20"/>
        </w:rPr>
        <w:t>[1] 沈虎琴, 檀华蓉, 祁克宗, 田春秋. 畜禽粪便中的氟喹诺酮类与四环素类兽药残留同时提取的方法研究[J]. 分析测试学报, 2012, 31(3):302-306.</w:t>
      </w:r>
    </w:p>
    <w:p>
      <w:pPr>
        <w:spacing w:line="360" w:lineRule="auto"/>
        <w:rPr>
          <w:rFonts w:ascii="Times New Roman" w:hAnsi="Times New Roman" w:eastAsia="宋体" w:cs="Times New Roman"/>
        </w:rPr>
      </w:pPr>
      <w:r>
        <w:rPr>
          <w:rFonts w:ascii="Times New Roman" w:hAnsi="Times New Roman" w:eastAsia="宋体" w:cs="Times New Roman"/>
        </w:rPr>
        <w:t>[2]</w:t>
      </w:r>
      <w:r>
        <w:rPr>
          <w:rFonts w:ascii="Times New Roman" w:hAnsi="Times New Roman" w:cs="Times New Roman"/>
        </w:rPr>
        <w:t xml:space="preserve"> </w:t>
      </w:r>
      <w:r>
        <w:rPr>
          <w:rFonts w:ascii="Times New Roman" w:hAnsi="Times New Roman" w:cs="Times New Roman"/>
          <w:color w:val="000000"/>
          <w:sz w:val="20"/>
          <w:szCs w:val="20"/>
          <w:shd w:val="clear" w:color="auto" w:fill="FFFFFF"/>
        </w:rPr>
        <w:t>王冰, 孙成, 胡冠九. 环境中抗生素残留潜在风险及其研究进展[J]. 环境科学与技术, 2007, 30(3):108-111.</w:t>
      </w:r>
    </w:p>
    <w:p>
      <w:pPr>
        <w:spacing w:line="360" w:lineRule="auto"/>
        <w:rPr>
          <w:rFonts w:ascii="Times New Roman" w:hAnsi="Times New Roman" w:cs="Times New Roman"/>
          <w:szCs w:val="21"/>
        </w:rPr>
      </w:pPr>
      <w:r>
        <w:rPr>
          <w:rFonts w:ascii="Times New Roman" w:hAnsi="Times New Roman" w:cs="Times New Roman"/>
          <w:szCs w:val="21"/>
        </w:rPr>
        <w:t xml:space="preserve">[3] </w:t>
      </w:r>
      <w:r>
        <w:rPr>
          <w:rFonts w:ascii="Times New Roman" w:hAnsi="Times New Roman" w:cs="Times New Roman"/>
          <w:color w:val="000000"/>
          <w:sz w:val="20"/>
          <w:szCs w:val="20"/>
          <w:shd w:val="clear" w:color="auto" w:fill="FFFFFF"/>
        </w:rPr>
        <w:t>俞道进, 曾振灵, 陈杖榴. 四环素类抗生素残留对水生态环境影响的研究进展[J]. 中国兽医学报, 2004, 24(5):515-517.</w:t>
      </w:r>
    </w:p>
    <w:p>
      <w:pPr>
        <w:spacing w:line="360" w:lineRule="auto"/>
        <w:rPr>
          <w:rFonts w:ascii="Times New Roman" w:hAnsi="Times New Roman" w:cs="Times New Roman"/>
          <w:szCs w:val="21"/>
        </w:rPr>
      </w:pPr>
      <w:r>
        <w:rPr>
          <w:rFonts w:ascii="Times New Roman" w:hAnsi="Times New Roman" w:cs="Times New Roman"/>
          <w:szCs w:val="21"/>
        </w:rPr>
        <w:t xml:space="preserve">[4] </w:t>
      </w:r>
      <w:r>
        <w:rPr>
          <w:rFonts w:ascii="Times New Roman" w:hAnsi="Times New Roman" w:cs="Times New Roman"/>
          <w:color w:val="000000"/>
          <w:sz w:val="20"/>
          <w:szCs w:val="20"/>
          <w:shd w:val="clear" w:color="auto" w:fill="FFFFFF"/>
        </w:rPr>
        <w:t>那广水, 陈彤, 张月梅,等. 中国北方地区水体中四环素族抗生素残留现状分析[J]. 中国环境监测, 2009, 25(6):78-80.</w:t>
      </w:r>
    </w:p>
    <w:p>
      <w:pPr>
        <w:spacing w:line="360" w:lineRule="auto"/>
        <w:rPr>
          <w:rFonts w:ascii="Times New Roman" w:hAnsi="Times New Roman" w:cs="Times New Roman"/>
          <w:szCs w:val="21"/>
        </w:rPr>
      </w:pPr>
      <w:r>
        <w:rPr>
          <w:rFonts w:ascii="Times New Roman" w:hAnsi="Times New Roman" w:cs="Times New Roman"/>
          <w:szCs w:val="21"/>
        </w:rPr>
        <w:t xml:space="preserve">[5] </w:t>
      </w:r>
      <w:r>
        <w:rPr>
          <w:rFonts w:ascii="Times New Roman" w:hAnsi="Times New Roman" w:cs="Times New Roman"/>
          <w:color w:val="000000"/>
          <w:sz w:val="20"/>
          <w:szCs w:val="20"/>
          <w:shd w:val="clear" w:color="auto" w:fill="FFFFFF"/>
        </w:rPr>
        <w:t>浙北地区畜禽粪便和农田土壤中四环素类抗生素残留[J]. 生态与农村环境学报, 2008, 24(3):69-73.</w:t>
      </w:r>
    </w:p>
    <w:p>
      <w:pPr>
        <w:spacing w:line="360" w:lineRule="auto"/>
        <w:rPr>
          <w:rFonts w:ascii="Times New Roman" w:hAnsi="Times New Roman" w:cs="Times New Roman"/>
          <w:szCs w:val="21"/>
        </w:rPr>
      </w:pPr>
      <w:r>
        <w:rPr>
          <w:rFonts w:ascii="Times New Roman" w:hAnsi="Times New Roman" w:cs="Times New Roman"/>
          <w:szCs w:val="21"/>
        </w:rPr>
        <w:t xml:space="preserve">[6] </w:t>
      </w:r>
      <w:r>
        <w:rPr>
          <w:rFonts w:ascii="Times New Roman" w:hAnsi="Times New Roman" w:cs="Times New Roman"/>
          <w:color w:val="000000"/>
          <w:sz w:val="20"/>
          <w:szCs w:val="20"/>
          <w:shd w:val="clear" w:color="auto" w:fill="FFFFFF"/>
        </w:rPr>
        <w:t>胡冠九, 王冰, 孙成. 高效液相色谱法测定环境水样中5种四环素类抗生素残留[J]. 环境化学, 2007, 26(1):106-107.</w:t>
      </w:r>
      <w:r>
        <w:rPr>
          <w:rFonts w:ascii="Times New Roman" w:hAnsi="Times New Roman" w:cs="Times New Roman"/>
          <w:szCs w:val="21"/>
        </w:rPr>
        <w:t xml:space="preserve"> </w:t>
      </w:r>
    </w:p>
    <w:p>
      <w:pPr>
        <w:spacing w:line="360" w:lineRule="auto"/>
        <w:rPr>
          <w:rFonts w:ascii="Times New Roman" w:hAnsi="Times New Roman" w:eastAsia="宋体" w:cs="Times New Roman"/>
          <w:color w:val="000000"/>
          <w:sz w:val="19"/>
          <w:szCs w:val="19"/>
          <w:shd w:val="clear" w:color="auto" w:fill="FFFFFF"/>
        </w:rPr>
      </w:pPr>
      <w:r>
        <w:rPr>
          <w:rFonts w:ascii="Times New Roman" w:hAnsi="Times New Roman" w:cs="Times New Roman"/>
          <w:szCs w:val="21"/>
        </w:rPr>
        <w:t xml:space="preserve">[7] </w:t>
      </w:r>
      <w:r>
        <w:rPr>
          <w:rFonts w:ascii="Times New Roman" w:hAnsi="Times New Roman" w:eastAsia="宋体" w:cs="Times New Roman"/>
          <w:color w:val="000000"/>
          <w:sz w:val="19"/>
          <w:szCs w:val="19"/>
          <w:shd w:val="clear" w:color="auto" w:fill="FFFFFF"/>
        </w:rPr>
        <w:t>Guo C , Huai B , Wang F , et al. Development of a modified QuEChERS method for the determination of veterinary antibiotics in swine manure by liquid chromatography tandem mass spectrometry[J]. J Chromatogr B Analyt Technol Biomed Life Sci, 2016, 1027:110-118.</w:t>
      </w:r>
    </w:p>
    <w:p>
      <w:pPr>
        <w:spacing w:line="360" w:lineRule="auto"/>
        <w:rPr>
          <w:rFonts w:ascii="Times New Roman" w:hAnsi="Times New Roman" w:eastAsia="宋体" w:cs="Times New Roman"/>
          <w:color w:val="000000"/>
          <w:sz w:val="19"/>
          <w:szCs w:val="19"/>
          <w:shd w:val="clear" w:color="auto" w:fill="FFFFFF"/>
        </w:rPr>
      </w:pPr>
      <w:r>
        <w:rPr>
          <w:rFonts w:ascii="Times New Roman" w:hAnsi="Times New Roman" w:cs="Times New Roman"/>
          <w:szCs w:val="21"/>
        </w:rPr>
        <w:t xml:space="preserve">[8] </w:t>
      </w:r>
      <w:r>
        <w:rPr>
          <w:rFonts w:ascii="Times New Roman" w:hAnsi="Times New Roman" w:eastAsia="宋体" w:cs="Times New Roman"/>
          <w:color w:val="000000"/>
          <w:sz w:val="19"/>
          <w:szCs w:val="19"/>
          <w:shd w:val="clear" w:color="auto" w:fill="FFFFFF"/>
        </w:rPr>
        <w:t>胡献刚, 罗义, 周启星,等. 固相萃取-高效液相色谱法测定畜牧粪便中13种抗生素药物残留[J]. 分析化学, 2008, 36(9):1162-1166.</w:t>
      </w:r>
    </w:p>
    <w:p>
      <w:pPr>
        <w:spacing w:line="360" w:lineRule="auto"/>
        <w:rPr>
          <w:rFonts w:ascii="Times New Roman" w:hAnsi="Times New Roman" w:eastAsia="宋体" w:cs="Times New Roman"/>
          <w:color w:val="000000"/>
          <w:sz w:val="19"/>
          <w:szCs w:val="19"/>
          <w:shd w:val="clear" w:color="auto" w:fill="FFFFFF"/>
        </w:rPr>
        <w:sectPr>
          <w:footerReference r:id="rId3" w:type="default"/>
          <w:pgSz w:w="11906" w:h="16838"/>
          <w:pgMar w:top="1440" w:right="1803" w:bottom="1440" w:left="1803" w:header="851" w:footer="992" w:gutter="0"/>
          <w:cols w:space="0" w:num="1"/>
          <w:docGrid w:type="lines" w:linePitch="319" w:charSpace="0"/>
        </w:sectPr>
      </w:pPr>
    </w:p>
    <w:p>
      <w:pPr>
        <w:tabs>
          <w:tab w:val="left" w:pos="1600"/>
        </w:tabs>
        <w:jc w:val="left"/>
        <w:rPr>
          <w:rFonts w:ascii="Times New Roman" w:hAnsi="Times New Roman" w:eastAsia="宋体" w:cs="Times New Roman"/>
          <w:b/>
          <w:bCs/>
          <w:sz w:val="24"/>
        </w:rPr>
      </w:pPr>
      <w:r>
        <w:rPr>
          <w:rFonts w:ascii="Times New Roman" w:hAnsi="Times New Roman" w:eastAsia="宋体" w:cs="Times New Roman"/>
          <w:b/>
          <w:bCs/>
          <w:sz w:val="24"/>
        </w:rPr>
        <w:t>附录</w:t>
      </w:r>
      <w:r>
        <w:rPr>
          <w:rFonts w:hint="eastAsia" w:ascii="Times New Roman" w:hAnsi="Times New Roman" w:eastAsia="宋体" w:cs="Times New Roman"/>
          <w:b/>
          <w:bCs/>
          <w:sz w:val="24"/>
        </w:rPr>
        <w:t>A</w:t>
      </w:r>
    </w:p>
    <w:p>
      <w:pPr>
        <w:tabs>
          <w:tab w:val="left" w:pos="1600"/>
        </w:tabs>
        <w:jc w:val="center"/>
        <w:rPr>
          <w:rFonts w:ascii="Times New Roman" w:hAnsi="Times New Roman" w:cs="Times New Roman"/>
          <w:b/>
          <w:bCs/>
        </w:rPr>
      </w:pPr>
      <w:r>
        <w:rPr>
          <w:rFonts w:ascii="Times New Roman" w:hAnsi="Times New Roman" w:eastAsia="宋体" w:cs="Times New Roman"/>
          <w:b/>
          <w:bCs/>
        </w:rPr>
        <w:t>表</w:t>
      </w:r>
      <w:r>
        <w:rPr>
          <w:rFonts w:hint="eastAsia" w:ascii="Times New Roman" w:hAnsi="Times New Roman" w:eastAsia="宋体" w:cs="Times New Roman"/>
          <w:b/>
          <w:bCs/>
        </w:rPr>
        <w:t>A</w:t>
      </w:r>
      <w:r>
        <w:rPr>
          <w:rFonts w:ascii="Times New Roman" w:hAnsi="Times New Roman" w:eastAsia="宋体" w:cs="Times New Roman"/>
          <w:b/>
          <w:bCs/>
        </w:rPr>
        <w:t xml:space="preserve"> 四环素类、磺胺类和喹诺酮类33种药物的CAS号</w:t>
      </w:r>
      <w:r>
        <w:rPr>
          <w:rFonts w:ascii="Times New Roman" w:hAnsi="Times New Roman" w:cs="Times New Roman"/>
          <w:b/>
          <w:bCs/>
        </w:rPr>
        <w:t>及定量限、检出限</w:t>
      </w:r>
    </w:p>
    <w:p>
      <w:pPr>
        <w:rPr>
          <w:rFonts w:ascii="Times New Roman" w:hAnsi="Times New Roman" w:cs="Times New Roman"/>
        </w:rPr>
      </w:pPr>
    </w:p>
    <w:tbl>
      <w:tblPr>
        <w:tblStyle w:val="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8"/>
        <w:gridCol w:w="908"/>
        <w:gridCol w:w="2709"/>
        <w:gridCol w:w="3546"/>
        <w:gridCol w:w="1861"/>
        <w:gridCol w:w="1818"/>
        <w:gridCol w:w="18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Align w:val="center"/>
          </w:tcPr>
          <w:p>
            <w:pPr>
              <w:jc w:val="center"/>
              <w:rPr>
                <w:rFonts w:ascii="Times New Roman" w:hAnsi="Times New Roman" w:cs="Times New Roman"/>
                <w:szCs w:val="21"/>
              </w:rPr>
            </w:pPr>
            <w:r>
              <w:rPr>
                <w:rFonts w:ascii="Times New Roman" w:hAnsi="Times New Roman" w:cs="Times New Roman"/>
                <w:szCs w:val="21"/>
              </w:rPr>
              <w:t>类别</w:t>
            </w: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序号</w:t>
            </w:r>
          </w:p>
        </w:tc>
        <w:tc>
          <w:tcPr>
            <w:tcW w:w="955" w:type="pct"/>
            <w:vAlign w:val="center"/>
          </w:tcPr>
          <w:p>
            <w:pPr>
              <w:widowControl/>
              <w:jc w:val="center"/>
              <w:textAlignment w:val="center"/>
              <w:rPr>
                <w:rFonts w:ascii="Times New Roman" w:hAnsi="Times New Roman" w:eastAsia="宋体" w:cs="Times New Roman"/>
                <w:b/>
                <w:bCs/>
                <w:color w:val="000000"/>
              </w:rPr>
            </w:pPr>
            <w:r>
              <w:rPr>
                <w:rFonts w:ascii="Times New Roman" w:hAnsi="Times New Roman" w:eastAsia="宋体" w:cs="Times New Roman"/>
                <w:b/>
                <w:bCs/>
                <w:color w:val="000000"/>
                <w:kern w:val="0"/>
                <w:lang w:bidi="ar"/>
              </w:rPr>
              <w:t>中文名称</w:t>
            </w:r>
          </w:p>
        </w:tc>
        <w:tc>
          <w:tcPr>
            <w:tcW w:w="1250" w:type="pct"/>
            <w:vAlign w:val="center"/>
          </w:tcPr>
          <w:p>
            <w:pPr>
              <w:widowControl/>
              <w:jc w:val="center"/>
              <w:textAlignment w:val="center"/>
              <w:rPr>
                <w:rFonts w:ascii="Times New Roman" w:hAnsi="Times New Roman" w:eastAsia="宋体" w:cs="Times New Roman"/>
                <w:b/>
                <w:bCs/>
                <w:color w:val="000000"/>
              </w:rPr>
            </w:pPr>
            <w:r>
              <w:rPr>
                <w:rFonts w:ascii="Times New Roman" w:hAnsi="Times New Roman" w:eastAsia="宋体" w:cs="Times New Roman"/>
                <w:b/>
                <w:bCs/>
                <w:color w:val="000000"/>
                <w:kern w:val="0"/>
                <w:lang w:bidi="ar"/>
              </w:rPr>
              <w:t>英文名称</w:t>
            </w:r>
          </w:p>
        </w:tc>
        <w:tc>
          <w:tcPr>
            <w:tcW w:w="656" w:type="pct"/>
            <w:vAlign w:val="center"/>
          </w:tcPr>
          <w:p>
            <w:pPr>
              <w:widowControl/>
              <w:jc w:val="center"/>
              <w:textAlignment w:val="center"/>
              <w:rPr>
                <w:rFonts w:ascii="Times New Roman" w:hAnsi="Times New Roman" w:eastAsia="宋体" w:cs="Times New Roman"/>
                <w:b/>
                <w:bCs/>
                <w:color w:val="000000"/>
                <w:kern w:val="0"/>
                <w:lang w:bidi="ar"/>
              </w:rPr>
            </w:pPr>
            <w:r>
              <w:rPr>
                <w:rFonts w:ascii="Times New Roman" w:hAnsi="Times New Roman" w:eastAsia="宋体" w:cs="Times New Roman"/>
                <w:b/>
                <w:bCs/>
                <w:color w:val="000000"/>
                <w:kern w:val="0"/>
                <w:lang w:bidi="ar"/>
              </w:rPr>
              <w:t>CAS</w:t>
            </w:r>
          </w:p>
        </w:tc>
        <w:tc>
          <w:tcPr>
            <w:tcW w:w="641" w:type="pct"/>
            <w:vAlign w:val="center"/>
          </w:tcPr>
          <w:p>
            <w:pPr>
              <w:widowControl/>
              <w:jc w:val="center"/>
              <w:textAlignment w:val="center"/>
              <w:rPr>
                <w:rFonts w:hint="eastAsia" w:ascii="Times New Roman" w:hAnsi="Times New Roman" w:eastAsia="宋体" w:cs="Times New Roman"/>
                <w:b/>
                <w:bCs/>
                <w:color w:val="000000"/>
                <w:lang w:val="en-US" w:eastAsia="zh-CN"/>
              </w:rPr>
            </w:pPr>
            <w:r>
              <w:rPr>
                <w:rFonts w:ascii="Times New Roman" w:hAnsi="Times New Roman" w:eastAsia="宋体" w:cs="Times New Roman"/>
                <w:b/>
                <w:bCs/>
                <w:color w:val="000000"/>
                <w:kern w:val="0"/>
                <w:lang w:bidi="ar"/>
              </w:rPr>
              <w:t>检出限</w:t>
            </w:r>
            <w:r>
              <w:rPr>
                <w:rFonts w:hint="eastAsia" w:ascii="Times New Roman" w:hAnsi="Times New Roman" w:eastAsia="宋体" w:cs="Times New Roman"/>
                <w:b/>
                <w:bCs/>
                <w:color w:val="000000"/>
                <w:kern w:val="0"/>
                <w:lang w:val="en-US" w:eastAsia="zh-CN" w:bidi="ar"/>
              </w:rPr>
              <w:t>/(</w:t>
            </w:r>
            <w:r>
              <w:rPr>
                <w:rFonts w:ascii="Times New Roman" w:hAnsi="Times New Roman" w:eastAsia="宋体" w:cs="Times New Roman"/>
                <w:b/>
                <w:bCs/>
              </w:rPr>
              <w:t>µg/L</w:t>
            </w:r>
            <w:r>
              <w:rPr>
                <w:rFonts w:hint="eastAsia" w:ascii="Times New Roman" w:hAnsi="Times New Roman" w:eastAsia="宋体" w:cs="Times New Roman"/>
                <w:b/>
                <w:bCs/>
                <w:lang w:val="en-US" w:eastAsia="zh-CN"/>
              </w:rPr>
              <w:t>)</w:t>
            </w:r>
          </w:p>
        </w:tc>
        <w:tc>
          <w:tcPr>
            <w:tcW w:w="641" w:type="pct"/>
            <w:vAlign w:val="center"/>
          </w:tcPr>
          <w:p>
            <w:pPr>
              <w:widowControl/>
              <w:jc w:val="center"/>
              <w:textAlignment w:val="center"/>
              <w:rPr>
                <w:rFonts w:hint="eastAsia" w:ascii="Times New Roman" w:hAnsi="Times New Roman" w:eastAsia="宋体" w:cs="Times New Roman"/>
                <w:b/>
                <w:bCs/>
                <w:color w:val="000000"/>
                <w:lang w:val="en-US" w:eastAsia="zh-CN"/>
              </w:rPr>
            </w:pPr>
            <w:r>
              <w:rPr>
                <w:rFonts w:ascii="Times New Roman" w:hAnsi="Times New Roman" w:eastAsia="宋体" w:cs="Times New Roman"/>
                <w:b/>
                <w:bCs/>
                <w:color w:val="000000"/>
                <w:kern w:val="0"/>
                <w:lang w:bidi="ar"/>
              </w:rPr>
              <w:t>定量限</w:t>
            </w:r>
            <w:r>
              <w:rPr>
                <w:rFonts w:hint="eastAsia" w:ascii="Times New Roman" w:hAnsi="Times New Roman" w:eastAsia="宋体" w:cs="Times New Roman"/>
                <w:b/>
                <w:bCs/>
                <w:color w:val="000000"/>
                <w:kern w:val="0"/>
                <w:lang w:val="en-US" w:eastAsia="zh-CN" w:bidi="ar"/>
              </w:rPr>
              <w:t>/(</w:t>
            </w:r>
            <w:r>
              <w:rPr>
                <w:rFonts w:ascii="Times New Roman" w:hAnsi="Times New Roman" w:eastAsia="宋体" w:cs="Times New Roman"/>
                <w:b/>
                <w:bCs/>
              </w:rPr>
              <w:t>µg/L</w:t>
            </w:r>
            <w:r>
              <w:rPr>
                <w:rFonts w:hint="eastAsia" w:ascii="Times New Roman" w:hAnsi="Times New Roman" w:eastAsia="宋体" w:cs="Times New Roman"/>
                <w:b/>
                <w:bCs/>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restart"/>
            <w:vAlign w:val="center"/>
          </w:tcPr>
          <w:p>
            <w:pPr>
              <w:jc w:val="center"/>
              <w:rPr>
                <w:rFonts w:ascii="Times New Roman" w:hAnsi="Times New Roman" w:cs="Times New Roman"/>
                <w:szCs w:val="21"/>
              </w:rPr>
            </w:pPr>
            <w:r>
              <w:rPr>
                <w:rFonts w:ascii="Times New Roman" w:hAnsi="Times New Roman" w:cs="Times New Roman"/>
                <w:szCs w:val="21"/>
              </w:rPr>
              <w:t>磺胺类</w:t>
            </w: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磺胺嘧啶</w:t>
            </w:r>
          </w:p>
        </w:tc>
        <w:tc>
          <w:tcPr>
            <w:tcW w:w="1250" w:type="pct"/>
            <w:vAlign w:val="center"/>
          </w:tcPr>
          <w:p>
            <w:pPr>
              <w:jc w:val="center"/>
              <w:rPr>
                <w:rFonts w:ascii="Times New Roman" w:hAnsi="Times New Roman" w:eastAsia="宋体" w:cs="Times New Roman"/>
              </w:rPr>
            </w:pPr>
            <w:r>
              <w:rPr>
                <w:rFonts w:ascii="Times New Roman" w:hAnsi="Times New Roman" w:eastAsia="宋体" w:cs="Times New Roman"/>
                <w:color w:val="333333"/>
                <w:shd w:val="clear" w:color="auto" w:fill="FFFFFF"/>
              </w:rPr>
              <w:t>Sulfadiazine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68-35-9</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磺胺二甲基嘧啶</w:t>
            </w:r>
          </w:p>
        </w:tc>
        <w:tc>
          <w:tcPr>
            <w:tcW w:w="1250" w:type="pct"/>
            <w:vAlign w:val="center"/>
          </w:tcPr>
          <w:p>
            <w:pPr>
              <w:jc w:val="center"/>
              <w:rPr>
                <w:rFonts w:ascii="Times New Roman" w:hAnsi="Times New Roman" w:eastAsia="宋体" w:cs="Times New Roman"/>
              </w:rPr>
            </w:pPr>
            <w:r>
              <w:rPr>
                <w:rFonts w:ascii="Times New Roman" w:hAnsi="Times New Roman" w:eastAsia="宋体" w:cs="Times New Roman"/>
                <w:color w:val="333333"/>
                <w:shd w:val="clear" w:color="auto" w:fill="FFFFFF"/>
              </w:rPr>
              <w:t>Sulfadimidine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57-68-1</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3</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磺胺氯哒嗪</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Sulfachloropyridazine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80-32-0</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4</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磺胺甲噁唑</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Sulfamethoxazole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723-46-6</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5</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磺胺甲氧嗪</w:t>
            </w:r>
          </w:p>
        </w:tc>
        <w:tc>
          <w:tcPr>
            <w:tcW w:w="1250" w:type="pct"/>
            <w:vAlign w:val="center"/>
          </w:tcPr>
          <w:p>
            <w:pPr>
              <w:widowControl/>
              <w:jc w:val="center"/>
              <w:textAlignment w:val="center"/>
              <w:rPr>
                <w:rFonts w:ascii="Times New Roman" w:hAnsi="Times New Roman" w:eastAsia="宋体" w:cs="Times New Roman"/>
                <w:color w:val="000000"/>
                <w:kern w:val="0"/>
              </w:rPr>
            </w:pPr>
            <w:r>
              <w:rPr>
                <w:rFonts w:ascii="Times New Roman" w:hAnsi="Times New Roman" w:eastAsia="宋体" w:cs="Times New Roman"/>
                <w:color w:val="333333"/>
                <w:shd w:val="clear" w:color="auto" w:fill="FFFFFF"/>
              </w:rPr>
              <w:t>Sulfamethoxypyridazine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80-35-3</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6</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磺胺对甲氧嘧啶</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bCs/>
                <w:color w:val="000000"/>
              </w:rPr>
              <w:t>Sulfameter</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651-06-9</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7</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磺胺间甲氧嘧啶</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color w:val="333333"/>
                <w:shd w:val="clear" w:color="auto" w:fill="FFFFFF"/>
              </w:rPr>
              <w:t>S</w:t>
            </w:r>
            <w:r>
              <w:rPr>
                <w:rFonts w:ascii="Times New Roman" w:hAnsi="Times New Roman" w:eastAsia="宋体" w:cs="Times New Roman"/>
                <w:color w:val="333333"/>
                <w:shd w:val="clear" w:color="auto" w:fill="FFFFFF"/>
              </w:rPr>
              <w:t>ulfamonomethoxine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1220-83-3</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8</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磺胺噻唑</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color w:val="333333"/>
                <w:shd w:val="clear" w:color="auto" w:fill="FFFFFF"/>
              </w:rPr>
              <w:t>S</w:t>
            </w:r>
            <w:r>
              <w:rPr>
                <w:rFonts w:ascii="Times New Roman" w:hAnsi="Times New Roman" w:eastAsia="宋体" w:cs="Times New Roman"/>
                <w:color w:val="333333"/>
                <w:shd w:val="clear" w:color="auto" w:fill="FFFFFF"/>
              </w:rPr>
              <w:t>ulfathiazole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72-14-0</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9</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磺胺间二甲氧嘧啶</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Sulfadimethoxypyrimidine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155-91-9</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10</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磺胺甲噻二唑</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Sulfamethizole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144-82-1</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11</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磺胺苯吡唑</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Sulfaphenazolum</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526-08-9</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12</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磺胺脒</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Sulfaguanidine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57-67-0</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13</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磺胺醋酰钠</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Sulfacetamide Sodium</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127-56-0</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14</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磺胺邻二甲氧嘧啶</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sulfadimoxine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2447-57-6</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15</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磺胺喹噁啉</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Sulfaquinoxaline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59-40-5</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restart"/>
            <w:vAlign w:val="center"/>
          </w:tcPr>
          <w:p>
            <w:pPr>
              <w:jc w:val="center"/>
              <w:rPr>
                <w:rFonts w:ascii="Times New Roman" w:hAnsi="Times New Roman" w:cs="Times New Roman"/>
                <w:szCs w:val="21"/>
              </w:rPr>
            </w:pPr>
            <w:r>
              <w:rPr>
                <w:rFonts w:ascii="Times New Roman" w:hAnsi="Times New Roman" w:cs="Times New Roman"/>
                <w:szCs w:val="21"/>
              </w:rPr>
              <w:t>喹诺酮类</w:t>
            </w: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16</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诺氟沙星</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color w:val="333333"/>
                <w:shd w:val="clear" w:color="auto" w:fill="FFFFFF"/>
              </w:rPr>
              <w:t>Norfloxacin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70458-96-7</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17</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氟罗沙星</w:t>
            </w:r>
          </w:p>
        </w:tc>
        <w:tc>
          <w:tcPr>
            <w:tcW w:w="1250" w:type="pct"/>
            <w:vAlign w:val="center"/>
          </w:tcPr>
          <w:p>
            <w:pPr>
              <w:jc w:val="center"/>
              <w:rPr>
                <w:rFonts w:ascii="Times New Roman" w:hAnsi="Times New Roman" w:eastAsia="宋体" w:cs="Times New Roman"/>
              </w:rPr>
            </w:pPr>
            <w:r>
              <w:rPr>
                <w:rFonts w:ascii="Times New Roman" w:hAnsi="Times New Roman" w:cs="Times New Roman"/>
                <w:color w:val="333333"/>
                <w:shd w:val="clear" w:color="auto" w:fill="FFFFFF"/>
              </w:rPr>
              <w:t>Fleroxacin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79660-72-3</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18</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司帕沙星</w:t>
            </w:r>
          </w:p>
        </w:tc>
        <w:tc>
          <w:tcPr>
            <w:tcW w:w="1250" w:type="pct"/>
            <w:vAlign w:val="center"/>
          </w:tcPr>
          <w:p>
            <w:pPr>
              <w:jc w:val="center"/>
              <w:rPr>
                <w:rFonts w:ascii="Times New Roman" w:hAnsi="Times New Roman" w:eastAsia="宋体" w:cs="Times New Roman"/>
              </w:rPr>
            </w:pPr>
            <w:r>
              <w:rPr>
                <w:rFonts w:ascii="Times New Roman" w:hAnsi="Times New Roman" w:eastAsia="宋体" w:cs="Times New Roman"/>
              </w:rPr>
              <w:t>Sparfloxacin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110871-86-8</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19</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奥比沙星</w:t>
            </w:r>
          </w:p>
        </w:tc>
        <w:tc>
          <w:tcPr>
            <w:tcW w:w="1250" w:type="pct"/>
            <w:vAlign w:val="center"/>
          </w:tcPr>
          <w:p>
            <w:pPr>
              <w:jc w:val="center"/>
              <w:rPr>
                <w:rFonts w:ascii="Times New Roman" w:hAnsi="Times New Roman" w:eastAsia="宋体" w:cs="Times New Roman"/>
              </w:rPr>
            </w:pPr>
            <w:r>
              <w:rPr>
                <w:rFonts w:ascii="Times New Roman" w:hAnsi="Times New Roman" w:eastAsia="宋体" w:cs="Times New Roman"/>
                <w:color w:val="333333"/>
                <w:shd w:val="clear" w:color="auto" w:fill="FFFFFF"/>
              </w:rPr>
              <w:t>Orbifloxacin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113617-63-3</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20</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恩诺沙星</w:t>
            </w:r>
          </w:p>
        </w:tc>
        <w:tc>
          <w:tcPr>
            <w:tcW w:w="1250" w:type="pct"/>
            <w:vAlign w:val="center"/>
          </w:tcPr>
          <w:p>
            <w:pPr>
              <w:jc w:val="center"/>
              <w:rPr>
                <w:rFonts w:ascii="Times New Roman" w:hAnsi="Times New Roman" w:eastAsia="宋体" w:cs="Times New Roman"/>
              </w:rPr>
            </w:pPr>
            <w:r>
              <w:rPr>
                <w:rFonts w:ascii="Times New Roman" w:hAnsi="Times New Roman" w:eastAsia="宋体" w:cs="Times New Roman"/>
                <w:color w:val="333333"/>
                <w:shd w:val="clear" w:color="auto" w:fill="FFFFFF"/>
              </w:rPr>
              <w:t>Enrofloxacin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93106-60-6</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21</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达氟沙星</w:t>
            </w:r>
          </w:p>
        </w:tc>
        <w:tc>
          <w:tcPr>
            <w:tcW w:w="1250" w:type="pct"/>
            <w:vAlign w:val="center"/>
          </w:tcPr>
          <w:p>
            <w:pPr>
              <w:jc w:val="center"/>
              <w:rPr>
                <w:rFonts w:ascii="Times New Roman" w:hAnsi="Times New Roman" w:eastAsia="宋体" w:cs="Times New Roman"/>
              </w:rPr>
            </w:pPr>
            <w:r>
              <w:rPr>
                <w:rFonts w:ascii="Times New Roman" w:hAnsi="Times New Roman" w:cs="Times New Roman"/>
                <w:color w:val="000000"/>
                <w:shd w:val="clear" w:color="auto" w:fill="FFFFFF"/>
              </w:rPr>
              <w:t>D</w:t>
            </w:r>
            <w:r>
              <w:rPr>
                <w:rFonts w:ascii="Times New Roman" w:hAnsi="Times New Roman" w:eastAsia="宋体" w:cs="Times New Roman"/>
                <w:color w:val="000000"/>
                <w:shd w:val="clear" w:color="auto" w:fill="FFFFFF"/>
              </w:rPr>
              <w:t>anofloxacin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112398-08-0</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22</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培氟沙星</w:t>
            </w:r>
          </w:p>
        </w:tc>
        <w:tc>
          <w:tcPr>
            <w:tcW w:w="1250" w:type="pct"/>
            <w:vAlign w:val="center"/>
          </w:tcPr>
          <w:p>
            <w:pPr>
              <w:jc w:val="center"/>
              <w:rPr>
                <w:rFonts w:ascii="Times New Roman" w:hAnsi="Times New Roman" w:eastAsia="宋体" w:cs="Times New Roman"/>
              </w:rPr>
            </w:pPr>
            <w:r>
              <w:rPr>
                <w:rFonts w:ascii="Times New Roman" w:hAnsi="Times New Roman" w:eastAsia="宋体" w:cs="Times New Roman"/>
                <w:color w:val="333333"/>
                <w:shd w:val="clear" w:color="auto" w:fill="FFFFFF"/>
              </w:rPr>
              <w:t>Pefloxacin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149676-40-4</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23</w:t>
            </w:r>
          </w:p>
        </w:tc>
        <w:tc>
          <w:tcPr>
            <w:tcW w:w="955" w:type="pct"/>
            <w:vAlign w:val="center"/>
          </w:tcPr>
          <w:p>
            <w:pPr>
              <w:jc w:val="center"/>
              <w:rPr>
                <w:rFonts w:ascii="Times New Roman" w:hAnsi="Times New Roman" w:eastAsia="宋体" w:cs="Times New Roman"/>
              </w:rPr>
            </w:pPr>
            <w:r>
              <w:rPr>
                <w:rFonts w:ascii="Times New Roman" w:hAnsi="Times New Roman" w:eastAsia="宋体" w:cs="Times New Roman"/>
              </w:rPr>
              <w:t>二氟沙星</w:t>
            </w:r>
          </w:p>
        </w:tc>
        <w:tc>
          <w:tcPr>
            <w:tcW w:w="1250" w:type="pct"/>
            <w:vAlign w:val="center"/>
          </w:tcPr>
          <w:p>
            <w:pPr>
              <w:jc w:val="center"/>
              <w:rPr>
                <w:rFonts w:ascii="Times New Roman" w:hAnsi="Times New Roman" w:eastAsia="宋体" w:cs="Times New Roman"/>
              </w:rPr>
            </w:pPr>
            <w:r>
              <w:rPr>
                <w:rFonts w:ascii="Times New Roman" w:hAnsi="Times New Roman" w:eastAsia="宋体" w:cs="Times New Roman"/>
                <w:color w:val="000000"/>
                <w:shd w:val="clear" w:color="auto" w:fill="FAFAFA"/>
              </w:rPr>
              <w:t xml:space="preserve">Difluoxacin </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98106-17-3</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24</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环丙沙星</w:t>
            </w:r>
          </w:p>
        </w:tc>
        <w:tc>
          <w:tcPr>
            <w:tcW w:w="1250" w:type="pct"/>
            <w:vAlign w:val="center"/>
          </w:tcPr>
          <w:p>
            <w:pPr>
              <w:widowControl/>
              <w:jc w:val="center"/>
              <w:textAlignment w:val="center"/>
              <w:rPr>
                <w:rFonts w:ascii="Times New Roman" w:hAnsi="Times New Roman" w:eastAsia="宋体" w:cs="Times New Roman"/>
                <w:b/>
                <w:bCs/>
                <w:color w:val="000000"/>
              </w:rPr>
            </w:pPr>
            <w:r>
              <w:rPr>
                <w:rFonts w:ascii="Times New Roman" w:hAnsi="Times New Roman" w:cs="Times New Roman"/>
                <w:color w:val="333333"/>
                <w:szCs w:val="21"/>
                <w:shd w:val="clear" w:color="auto" w:fill="FFFFFF"/>
              </w:rPr>
              <w:t>Ciprofloxacin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85721-33-1</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25</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沙拉沙星</w:t>
            </w:r>
          </w:p>
        </w:tc>
        <w:tc>
          <w:tcPr>
            <w:tcW w:w="1250" w:type="pct"/>
            <w:vAlign w:val="center"/>
          </w:tcPr>
          <w:p>
            <w:pPr>
              <w:jc w:val="center"/>
              <w:rPr>
                <w:rFonts w:ascii="Times New Roman" w:hAnsi="Times New Roman" w:eastAsia="宋体" w:cs="Times New Roman"/>
              </w:rPr>
            </w:pPr>
            <w:r>
              <w:rPr>
                <w:rFonts w:ascii="Times New Roman" w:hAnsi="Times New Roman" w:cs="Times New Roman"/>
                <w:color w:val="333333"/>
                <w:szCs w:val="21"/>
                <w:shd w:val="clear" w:color="auto" w:fill="FFFFFF"/>
              </w:rPr>
              <w:t>Sarafloxacin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98105-99-8</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26</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洛美沙星</w:t>
            </w:r>
          </w:p>
        </w:tc>
        <w:tc>
          <w:tcPr>
            <w:tcW w:w="1250" w:type="pct"/>
            <w:vAlign w:val="center"/>
          </w:tcPr>
          <w:p>
            <w:pPr>
              <w:jc w:val="center"/>
              <w:rPr>
                <w:rFonts w:ascii="Times New Roman" w:hAnsi="Times New Roman" w:eastAsia="宋体" w:cs="Times New Roman"/>
              </w:rPr>
            </w:pPr>
            <w:r>
              <w:rPr>
                <w:rFonts w:ascii="Times New Roman" w:hAnsi="Times New Roman" w:cs="Times New Roman"/>
                <w:color w:val="000000"/>
                <w:szCs w:val="21"/>
                <w:shd w:val="clear" w:color="auto" w:fill="FAFAFA"/>
              </w:rPr>
              <w:t>Lomefloxacin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98079-51-7</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27</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氧氟沙星</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color w:val="333333"/>
                <w:szCs w:val="21"/>
                <w:shd w:val="clear" w:color="auto" w:fill="FFFFFF"/>
              </w:rPr>
              <w:t>Ofloxacin</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82419-36-1</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28</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氟甲喹</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color w:val="333333"/>
                <w:szCs w:val="21"/>
                <w:shd w:val="clear" w:color="auto" w:fill="FFFFFF"/>
              </w:rPr>
              <w:t>flumequine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42835-25-6</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29</w:t>
            </w:r>
          </w:p>
        </w:tc>
        <w:tc>
          <w:tcPr>
            <w:tcW w:w="955" w:type="pct"/>
            <w:vAlign w:val="center"/>
          </w:tcPr>
          <w:p>
            <w:pPr>
              <w:jc w:val="center"/>
              <w:rPr>
                <w:rFonts w:ascii="Times New Roman" w:hAnsi="Times New Roman" w:cs="Times New Roman"/>
                <w:szCs w:val="21"/>
              </w:rPr>
            </w:pPr>
            <w:r>
              <w:rPr>
                <w:rFonts w:ascii="Times New Roman" w:hAnsi="Times New Roman" w:cs="Times New Roman"/>
                <w:color w:val="000000"/>
                <w:sz w:val="24"/>
              </w:rPr>
              <w:t>恶喹酸</w:t>
            </w:r>
          </w:p>
        </w:tc>
        <w:tc>
          <w:tcPr>
            <w:tcW w:w="1250" w:type="pct"/>
            <w:vAlign w:val="center"/>
          </w:tcPr>
          <w:p>
            <w:pPr>
              <w:widowControl/>
              <w:jc w:val="center"/>
              <w:textAlignment w:val="center"/>
              <w:rPr>
                <w:rFonts w:ascii="Times New Roman" w:hAnsi="Times New Roman" w:eastAsia="宋体" w:cs="Times New Roman"/>
                <w:color w:val="000000"/>
                <w:kern w:val="0"/>
              </w:rPr>
            </w:pPr>
            <w:r>
              <w:rPr>
                <w:rFonts w:ascii="Times New Roman" w:hAnsi="Times New Roman" w:cs="Times New Roman"/>
                <w:color w:val="333333"/>
                <w:szCs w:val="21"/>
                <w:shd w:val="clear" w:color="auto" w:fill="FFFFFF"/>
              </w:rPr>
              <w:t>Oxolinic Acid</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14698-29-4</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532" w:type="pct"/>
            <w:vMerge w:val="restart"/>
            <w:vAlign w:val="center"/>
          </w:tcPr>
          <w:p>
            <w:pPr>
              <w:jc w:val="center"/>
              <w:rPr>
                <w:rFonts w:ascii="Times New Roman" w:hAnsi="Times New Roman" w:cs="Times New Roman"/>
                <w:szCs w:val="21"/>
              </w:rPr>
            </w:pPr>
            <w:r>
              <w:rPr>
                <w:rFonts w:ascii="Times New Roman" w:hAnsi="Times New Roman" w:cs="Times New Roman"/>
                <w:szCs w:val="21"/>
              </w:rPr>
              <w:t>四环素类</w:t>
            </w: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30</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四环素</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color w:val="333333"/>
                <w:szCs w:val="21"/>
                <w:shd w:val="clear" w:color="auto" w:fill="FFFFFF"/>
              </w:rPr>
              <w:t>Tetracycline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60-54-8</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31</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土霉素</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color w:val="333333"/>
                <w:szCs w:val="21"/>
                <w:shd w:val="clear" w:color="auto" w:fill="FFFFFF"/>
              </w:rPr>
              <w:t>Oxytetracycline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79-57-2</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32</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金霉素</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color w:val="333333"/>
                <w:szCs w:val="21"/>
                <w:shd w:val="clear" w:color="auto" w:fill="FFFFFF"/>
              </w:rPr>
              <w:t>Chlortetracycline</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57-62-5</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2" w:type="pct"/>
            <w:vMerge w:val="continue"/>
            <w:vAlign w:val="center"/>
          </w:tcPr>
          <w:p>
            <w:pPr>
              <w:jc w:val="center"/>
              <w:rPr>
                <w:rFonts w:ascii="Times New Roman" w:hAnsi="Times New Roman" w:cs="Times New Roman"/>
                <w:szCs w:val="21"/>
              </w:rPr>
            </w:pPr>
          </w:p>
        </w:tc>
        <w:tc>
          <w:tcPr>
            <w:tcW w:w="320" w:type="pct"/>
            <w:vAlign w:val="center"/>
          </w:tcPr>
          <w:p>
            <w:pPr>
              <w:jc w:val="center"/>
              <w:rPr>
                <w:rFonts w:ascii="Times New Roman" w:hAnsi="Times New Roman" w:cs="Times New Roman"/>
                <w:szCs w:val="21"/>
              </w:rPr>
            </w:pPr>
            <w:r>
              <w:rPr>
                <w:rFonts w:ascii="Times New Roman" w:hAnsi="Times New Roman" w:cs="Times New Roman"/>
                <w:szCs w:val="21"/>
              </w:rPr>
              <w:t>33</w:t>
            </w:r>
          </w:p>
        </w:tc>
        <w:tc>
          <w:tcPr>
            <w:tcW w:w="955" w:type="pct"/>
            <w:vAlign w:val="center"/>
          </w:tcPr>
          <w:p>
            <w:pPr>
              <w:jc w:val="center"/>
              <w:rPr>
                <w:rFonts w:ascii="Times New Roman" w:hAnsi="Times New Roman" w:cs="Times New Roman"/>
                <w:szCs w:val="21"/>
              </w:rPr>
            </w:pPr>
            <w:r>
              <w:rPr>
                <w:rFonts w:ascii="Times New Roman" w:hAnsi="Times New Roman" w:cs="Times New Roman"/>
                <w:szCs w:val="21"/>
              </w:rPr>
              <w:t>多西环素</w:t>
            </w:r>
          </w:p>
        </w:tc>
        <w:tc>
          <w:tcPr>
            <w:tcW w:w="1250"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color w:val="333333"/>
                <w:szCs w:val="21"/>
                <w:shd w:val="clear" w:color="auto" w:fill="FFFFFF"/>
              </w:rPr>
              <w:t xml:space="preserve">Doxycycline </w:t>
            </w:r>
          </w:p>
        </w:tc>
        <w:tc>
          <w:tcPr>
            <w:tcW w:w="656"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564-25-0</w:t>
            </w:r>
          </w:p>
        </w:tc>
        <w:tc>
          <w:tcPr>
            <w:tcW w:w="641" w:type="pct"/>
            <w:vAlign w:val="center"/>
          </w:tcPr>
          <w:p>
            <w:pPr>
              <w:widowControl/>
              <w:jc w:val="center"/>
              <w:textAlignment w:val="center"/>
              <w:rPr>
                <w:rFonts w:ascii="Times New Roman" w:hAnsi="Times New Roman" w:cs="Times New Roman"/>
                <w:szCs w:val="21"/>
              </w:rPr>
            </w:pPr>
            <w:r>
              <w:rPr>
                <w:rFonts w:ascii="Times New Roman" w:hAnsi="Times New Roman" w:cs="Times New Roman"/>
                <w:szCs w:val="21"/>
              </w:rPr>
              <w:t>2.0</w:t>
            </w:r>
          </w:p>
        </w:tc>
        <w:tc>
          <w:tcPr>
            <w:tcW w:w="641" w:type="pct"/>
          </w:tcPr>
          <w:p>
            <w:pPr>
              <w:widowControl/>
              <w:jc w:val="center"/>
              <w:textAlignment w:val="center"/>
              <w:rPr>
                <w:rFonts w:ascii="Times New Roman" w:hAnsi="Times New Roman" w:cs="Times New Roman"/>
                <w:color w:val="000000"/>
                <w:kern w:val="0"/>
                <w:szCs w:val="21"/>
              </w:rPr>
            </w:pPr>
            <w:r>
              <w:rPr>
                <w:rFonts w:ascii="Times New Roman" w:hAnsi="Times New Roman" w:cs="Times New Roman"/>
                <w:color w:val="000000"/>
                <w:kern w:val="0"/>
                <w:szCs w:val="21"/>
              </w:rPr>
              <w:t>5.0</w:t>
            </w:r>
          </w:p>
        </w:tc>
      </w:tr>
    </w:tbl>
    <w:p>
      <w:pPr>
        <w:spacing w:line="360" w:lineRule="auto"/>
        <w:rPr>
          <w:rFonts w:ascii="Times New Roman" w:hAnsi="Times New Roman" w:eastAsia="宋体" w:cs="Times New Roman"/>
          <w:color w:val="000000"/>
          <w:sz w:val="19"/>
          <w:szCs w:val="19"/>
          <w:shd w:val="clear" w:color="auto" w:fill="FFFFFF"/>
        </w:rPr>
        <w:sectPr>
          <w:pgSz w:w="16838" w:h="11906" w:orient="landscape"/>
          <w:pgMar w:top="1803" w:right="1440" w:bottom="1803" w:left="1440" w:header="851" w:footer="992" w:gutter="0"/>
          <w:cols w:space="0" w:num="1"/>
          <w:docGrid w:type="lines" w:linePitch="319" w:charSpace="0"/>
        </w:sectPr>
      </w:pPr>
    </w:p>
    <w:p>
      <w:pPr>
        <w:tabs>
          <w:tab w:val="left" w:pos="1600"/>
        </w:tabs>
        <w:rPr>
          <w:rFonts w:ascii="Times New Roman" w:hAnsi="Times New Roman" w:eastAsia="宋体" w:cs="Times New Roman"/>
          <w:b/>
          <w:bCs/>
        </w:rPr>
      </w:pPr>
    </w:p>
    <w:p>
      <w:pPr>
        <w:tabs>
          <w:tab w:val="left" w:pos="1600"/>
        </w:tabs>
        <w:rPr>
          <w:rFonts w:ascii="Times New Roman" w:hAnsi="Times New Roman" w:eastAsia="宋体" w:cs="Times New Roman"/>
          <w:b/>
          <w:bCs/>
        </w:rPr>
      </w:pPr>
      <w:r>
        <w:rPr>
          <w:rFonts w:ascii="Times New Roman" w:hAnsi="Times New Roman" w:eastAsia="宋体" w:cs="Times New Roman"/>
          <w:b/>
          <w:bCs/>
        </w:rPr>
        <w:t>附录</w:t>
      </w:r>
      <w:r>
        <w:rPr>
          <w:rFonts w:hint="eastAsia" w:ascii="Times New Roman" w:hAnsi="Times New Roman" w:eastAsia="宋体" w:cs="Times New Roman"/>
          <w:b/>
          <w:bCs/>
        </w:rPr>
        <w:t>B</w:t>
      </w:r>
      <w:r>
        <w:rPr>
          <w:rFonts w:ascii="Times New Roman" w:hAnsi="Times New Roman" w:eastAsia="宋体" w:cs="Times New Roman"/>
          <w:b/>
          <w:bCs/>
        </w:rPr>
        <w:t xml:space="preserve"> </w:t>
      </w:r>
    </w:p>
    <w:p>
      <w:pPr>
        <w:tabs>
          <w:tab w:val="left" w:pos="1600"/>
        </w:tabs>
        <w:jc w:val="center"/>
        <w:rPr>
          <w:rFonts w:ascii="Times New Roman" w:hAnsi="Times New Roman" w:cs="Times New Roman"/>
          <w:b/>
          <w:bCs/>
        </w:rPr>
      </w:pPr>
      <w:r>
        <w:rPr>
          <w:rFonts w:ascii="Times New Roman" w:hAnsi="Times New Roman" w:eastAsia="宋体" w:cs="Times New Roman"/>
          <w:b/>
          <w:bCs/>
        </w:rPr>
        <w:t>表</w:t>
      </w:r>
      <w:r>
        <w:rPr>
          <w:rFonts w:hint="eastAsia" w:ascii="Times New Roman" w:hAnsi="Times New Roman" w:eastAsia="宋体" w:cs="Times New Roman"/>
          <w:b/>
          <w:bCs/>
        </w:rPr>
        <w:t>B</w:t>
      </w:r>
      <w:r>
        <w:rPr>
          <w:rFonts w:ascii="Times New Roman" w:hAnsi="Times New Roman" w:eastAsia="宋体" w:cs="Times New Roman"/>
          <w:b/>
          <w:bCs/>
        </w:rPr>
        <w:t>1鸡场污水四环素类、磺胺类和喹诺酮类33种药物的线性方程</w:t>
      </w:r>
      <w:r>
        <w:rPr>
          <w:rFonts w:ascii="Times New Roman" w:hAnsi="Times New Roman" w:cs="Times New Roman"/>
          <w:b/>
          <w:bCs/>
        </w:rPr>
        <w:t>、相关系数</w:t>
      </w:r>
    </w:p>
    <w:tbl>
      <w:tblPr>
        <w:tblStyle w:val="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1"/>
        <w:gridCol w:w="3217"/>
        <w:gridCol w:w="3093"/>
        <w:gridCol w:w="3558"/>
        <w:gridCol w:w="2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序号</w:t>
            </w:r>
          </w:p>
        </w:tc>
        <w:tc>
          <w:tcPr>
            <w:tcW w:w="1135" w:type="pct"/>
            <w:vAlign w:val="center"/>
          </w:tcPr>
          <w:p>
            <w:pPr>
              <w:widowControl/>
              <w:jc w:val="center"/>
              <w:textAlignment w:val="center"/>
              <w:rPr>
                <w:rFonts w:ascii="Times New Roman" w:hAnsi="Times New Roman" w:eastAsia="宋体" w:cs="Times New Roman"/>
                <w:b/>
                <w:bCs/>
              </w:rPr>
            </w:pPr>
            <w:r>
              <w:rPr>
                <w:rFonts w:ascii="Times New Roman" w:hAnsi="Times New Roman" w:eastAsia="宋体" w:cs="Times New Roman"/>
                <w:b/>
                <w:bCs/>
                <w:kern w:val="0"/>
                <w:lang w:bidi="ar"/>
              </w:rPr>
              <w:t>中文名称</w:t>
            </w:r>
          </w:p>
        </w:tc>
        <w:tc>
          <w:tcPr>
            <w:tcW w:w="1091" w:type="pct"/>
            <w:vAlign w:val="center"/>
          </w:tcPr>
          <w:p>
            <w:pPr>
              <w:widowControl/>
              <w:jc w:val="center"/>
              <w:textAlignment w:val="center"/>
              <w:rPr>
                <w:rFonts w:ascii="Times New Roman" w:hAnsi="Times New Roman" w:eastAsia="宋体" w:cs="Times New Roman"/>
                <w:b/>
                <w:bCs/>
              </w:rPr>
            </w:pPr>
            <w:r>
              <w:rPr>
                <w:rFonts w:ascii="Times New Roman" w:hAnsi="Times New Roman" w:eastAsia="宋体" w:cs="Times New Roman"/>
                <w:b/>
                <w:bCs/>
                <w:kern w:val="0"/>
                <w:lang w:bidi="ar"/>
              </w:rPr>
              <w:t>英文名称</w:t>
            </w:r>
          </w:p>
        </w:tc>
        <w:tc>
          <w:tcPr>
            <w:tcW w:w="1255" w:type="pct"/>
            <w:vAlign w:val="center"/>
          </w:tcPr>
          <w:p>
            <w:pPr>
              <w:widowControl/>
              <w:jc w:val="center"/>
              <w:textAlignment w:val="center"/>
              <w:rPr>
                <w:rFonts w:ascii="Times New Roman" w:hAnsi="Times New Roman" w:eastAsia="宋体" w:cs="Times New Roman"/>
                <w:b/>
                <w:bCs/>
              </w:rPr>
            </w:pPr>
            <w:r>
              <w:rPr>
                <w:rFonts w:ascii="Times New Roman" w:hAnsi="Times New Roman" w:eastAsia="宋体" w:cs="Times New Roman"/>
                <w:b/>
                <w:bCs/>
                <w:kern w:val="0"/>
                <w:lang w:bidi="ar"/>
              </w:rPr>
              <w:t>线性回归方程</w:t>
            </w:r>
          </w:p>
        </w:tc>
        <w:tc>
          <w:tcPr>
            <w:tcW w:w="1019" w:type="pct"/>
            <w:vAlign w:val="center"/>
          </w:tcPr>
          <w:p>
            <w:pPr>
              <w:widowControl/>
              <w:jc w:val="center"/>
              <w:textAlignment w:val="center"/>
              <w:rPr>
                <w:rFonts w:ascii="Times New Roman" w:hAnsi="Times New Roman" w:eastAsia="宋体" w:cs="Times New Roman"/>
                <w:b/>
                <w:bCs/>
              </w:rPr>
            </w:pPr>
            <w:r>
              <w:rPr>
                <w:rStyle w:val="20"/>
                <w:rFonts w:eastAsia="宋体"/>
                <w:b/>
                <w:bCs/>
                <w:color w:val="auto"/>
                <w:sz w:val="21"/>
                <w:szCs w:val="24"/>
                <w:lang w:bidi="ar"/>
              </w:rPr>
              <w:t>相关系数/R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磺胺嘧啶</w:t>
            </w:r>
          </w:p>
        </w:tc>
        <w:tc>
          <w:tcPr>
            <w:tcW w:w="1091" w:type="pct"/>
            <w:vAlign w:val="center"/>
          </w:tcPr>
          <w:p>
            <w:pPr>
              <w:jc w:val="center"/>
              <w:rPr>
                <w:rFonts w:ascii="Times New Roman" w:hAnsi="Times New Roman" w:eastAsia="宋体" w:cs="Times New Roman"/>
              </w:rPr>
            </w:pPr>
            <w:r>
              <w:rPr>
                <w:rFonts w:ascii="Times New Roman" w:hAnsi="Times New Roman" w:eastAsia="宋体" w:cs="Times New Roman"/>
                <w:shd w:val="clear" w:color="auto" w:fill="FFFFFF"/>
              </w:rPr>
              <w:t>Sulfadiazine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y=1261x+2696</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2</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磺胺二甲基嘧啶</w:t>
            </w:r>
          </w:p>
        </w:tc>
        <w:tc>
          <w:tcPr>
            <w:tcW w:w="1091" w:type="pct"/>
            <w:vAlign w:val="center"/>
          </w:tcPr>
          <w:p>
            <w:pPr>
              <w:jc w:val="center"/>
              <w:rPr>
                <w:rFonts w:ascii="Times New Roman" w:hAnsi="Times New Roman" w:eastAsia="宋体" w:cs="Times New Roman"/>
              </w:rPr>
            </w:pPr>
            <w:r>
              <w:rPr>
                <w:rFonts w:ascii="Times New Roman" w:hAnsi="Times New Roman" w:eastAsia="宋体" w:cs="Times New Roman"/>
                <w:shd w:val="clear" w:color="auto" w:fill="FFFFFF"/>
              </w:rPr>
              <w:t>Sulfadimidine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y=364x+15031</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3</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磺胺氯哒嗪</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Sulfachloropyridazine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y=633x+2694</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4</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磺胺甲噁唑</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Sulfamethoxazole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y=651x+2694</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5</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磺胺甲氧嗪</w:t>
            </w:r>
          </w:p>
        </w:tc>
        <w:tc>
          <w:tcPr>
            <w:tcW w:w="1091" w:type="pct"/>
            <w:vAlign w:val="center"/>
          </w:tcPr>
          <w:p>
            <w:pPr>
              <w:widowControl/>
              <w:jc w:val="center"/>
              <w:textAlignment w:val="center"/>
              <w:rPr>
                <w:rFonts w:ascii="Times New Roman" w:hAnsi="Times New Roman" w:eastAsia="宋体" w:cs="Times New Roman"/>
                <w:kern w:val="0"/>
              </w:rPr>
            </w:pPr>
            <w:r>
              <w:rPr>
                <w:rFonts w:ascii="Times New Roman" w:hAnsi="Times New Roman" w:eastAsia="宋体" w:cs="Times New Roman"/>
                <w:shd w:val="clear" w:color="auto" w:fill="FFFFFF"/>
              </w:rPr>
              <w:t>Sulfamethoxypyridazine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y=318x+13606</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6</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磺胺对甲氧嘧啶</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bCs/>
              </w:rPr>
              <w:t>Sulfameter</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y=321x+13090</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7</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磺胺间甲氧嘧啶</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shd w:val="clear" w:color="auto" w:fill="FFFFFF"/>
              </w:rPr>
              <w:t>S</w:t>
            </w:r>
            <w:r>
              <w:rPr>
                <w:rFonts w:ascii="Times New Roman" w:hAnsi="Times New Roman" w:eastAsia="宋体" w:cs="Times New Roman"/>
                <w:shd w:val="clear" w:color="auto" w:fill="FFFFFF"/>
              </w:rPr>
              <w:t>ulfamonomethoxine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y=301x+15469</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8</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磺胺噻唑</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shd w:val="clear" w:color="auto" w:fill="FFFFFF"/>
              </w:rPr>
              <w:t>S</w:t>
            </w:r>
            <w:r>
              <w:rPr>
                <w:rFonts w:ascii="Times New Roman" w:hAnsi="Times New Roman" w:eastAsia="宋体" w:cs="Times New Roman"/>
                <w:shd w:val="clear" w:color="auto" w:fill="FFFFFF"/>
              </w:rPr>
              <w:t>ulfathiazole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y=129x+5056</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9</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磺胺间二甲氧嘧啶</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Sulfadimethoxypyrimidine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y=444x+27988</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10</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磺胺甲噻二唑</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Sulfamethizole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y=111x+4243</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11</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磺胺苯吡唑</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Sulfaphenazolum</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y=109x+8001</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12</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磺胺脒</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Sulfaguanidine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y=939x+6756</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13</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磺胺醋酰钠</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Sulfacetamide Sodium</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y=666x+3881</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14</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磺胺邻二甲氧嘧啶</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sulfadimoxine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y=370x+31177</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15</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磺胺喹噁啉</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Sulfaquinoxaline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y=709x+2287</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16</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诺氟沙星</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eastAsia="宋体" w:cs="Times New Roman"/>
                <w:shd w:val="clear" w:color="auto" w:fill="FFFFFF"/>
              </w:rPr>
              <w:t>Norfloxacin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y=1338x+12439</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bookmarkStart w:id="4" w:name="_Hlk536005425"/>
            <w:r>
              <w:rPr>
                <w:rFonts w:ascii="Times New Roman" w:hAnsi="Times New Roman" w:cs="Times New Roman"/>
                <w:szCs w:val="21"/>
              </w:rPr>
              <w:t>17</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氟罗沙星</w:t>
            </w:r>
          </w:p>
        </w:tc>
        <w:tc>
          <w:tcPr>
            <w:tcW w:w="1091" w:type="pct"/>
            <w:vAlign w:val="center"/>
          </w:tcPr>
          <w:p>
            <w:pPr>
              <w:jc w:val="center"/>
              <w:rPr>
                <w:rFonts w:ascii="Times New Roman" w:hAnsi="Times New Roman" w:eastAsia="宋体" w:cs="Times New Roman"/>
              </w:rPr>
            </w:pPr>
            <w:r>
              <w:rPr>
                <w:rFonts w:ascii="Times New Roman" w:hAnsi="Times New Roman" w:cs="Times New Roman"/>
                <w:shd w:val="clear" w:color="auto" w:fill="FFFFFF"/>
              </w:rPr>
              <w:t>Fleroxacin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y=665x+3881</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18</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司帕沙星</w:t>
            </w:r>
          </w:p>
        </w:tc>
        <w:tc>
          <w:tcPr>
            <w:tcW w:w="1091" w:type="pct"/>
            <w:vAlign w:val="center"/>
          </w:tcPr>
          <w:p>
            <w:pPr>
              <w:jc w:val="center"/>
              <w:rPr>
                <w:rFonts w:ascii="Times New Roman" w:hAnsi="Times New Roman" w:eastAsia="宋体" w:cs="Times New Roman"/>
              </w:rPr>
            </w:pPr>
            <w:r>
              <w:rPr>
                <w:rFonts w:ascii="Times New Roman" w:hAnsi="Times New Roman" w:eastAsia="宋体" w:cs="Times New Roman"/>
              </w:rPr>
              <w:t>Sparfloxacin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y=309x+2004</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19</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奥比沙星</w:t>
            </w:r>
          </w:p>
        </w:tc>
        <w:tc>
          <w:tcPr>
            <w:tcW w:w="1091" w:type="pct"/>
            <w:vAlign w:val="center"/>
          </w:tcPr>
          <w:p>
            <w:pPr>
              <w:jc w:val="center"/>
              <w:rPr>
                <w:rFonts w:ascii="Times New Roman" w:hAnsi="Times New Roman" w:eastAsia="宋体" w:cs="Times New Roman"/>
              </w:rPr>
            </w:pPr>
            <w:r>
              <w:rPr>
                <w:rFonts w:ascii="Times New Roman" w:hAnsi="Times New Roman" w:eastAsia="宋体" w:cs="Times New Roman"/>
                <w:shd w:val="clear" w:color="auto" w:fill="FFFFFF"/>
              </w:rPr>
              <w:t>Orbifloxacin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y=1777x+9577</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20</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恩诺沙星</w:t>
            </w:r>
          </w:p>
        </w:tc>
        <w:tc>
          <w:tcPr>
            <w:tcW w:w="1091" w:type="pct"/>
            <w:vAlign w:val="center"/>
          </w:tcPr>
          <w:p>
            <w:pPr>
              <w:jc w:val="center"/>
              <w:rPr>
                <w:rFonts w:ascii="Times New Roman" w:hAnsi="Times New Roman" w:eastAsia="宋体" w:cs="Times New Roman"/>
              </w:rPr>
            </w:pPr>
            <w:r>
              <w:rPr>
                <w:rFonts w:ascii="Times New Roman" w:hAnsi="Times New Roman" w:eastAsia="宋体" w:cs="Times New Roman"/>
                <w:shd w:val="clear" w:color="auto" w:fill="FFFFFF"/>
              </w:rPr>
              <w:t>Enrofloxacin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y=944x+31246</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0.9932</w:t>
            </w:r>
          </w:p>
        </w:tc>
      </w:tr>
      <w:bookmarkEnd w:id="4"/>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bookmarkStart w:id="5" w:name="_Hlk536005435"/>
            <w:r>
              <w:rPr>
                <w:rFonts w:ascii="Times New Roman" w:hAnsi="Times New Roman" w:cs="Times New Roman"/>
                <w:szCs w:val="21"/>
              </w:rPr>
              <w:t>21</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达氟沙星</w:t>
            </w:r>
          </w:p>
        </w:tc>
        <w:tc>
          <w:tcPr>
            <w:tcW w:w="1091" w:type="pct"/>
            <w:vAlign w:val="center"/>
          </w:tcPr>
          <w:p>
            <w:pPr>
              <w:jc w:val="center"/>
              <w:rPr>
                <w:rFonts w:ascii="Times New Roman" w:hAnsi="Times New Roman" w:eastAsia="宋体" w:cs="Times New Roman"/>
              </w:rPr>
            </w:pPr>
            <w:r>
              <w:rPr>
                <w:rFonts w:ascii="Times New Roman" w:hAnsi="Times New Roman" w:cs="Times New Roman"/>
                <w:shd w:val="clear" w:color="auto" w:fill="FFFFFF"/>
              </w:rPr>
              <w:t>D</w:t>
            </w:r>
            <w:r>
              <w:rPr>
                <w:rFonts w:ascii="Times New Roman" w:hAnsi="Times New Roman" w:eastAsia="宋体" w:cs="Times New Roman"/>
                <w:shd w:val="clear" w:color="auto" w:fill="FFFFFF"/>
              </w:rPr>
              <w:t>anofloxacin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y=874x+15829</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22</w:t>
            </w:r>
          </w:p>
        </w:tc>
        <w:tc>
          <w:tcPr>
            <w:tcW w:w="1135" w:type="pct"/>
            <w:vAlign w:val="center"/>
          </w:tcPr>
          <w:p>
            <w:pPr>
              <w:jc w:val="center"/>
              <w:rPr>
                <w:rFonts w:ascii="Times New Roman" w:hAnsi="Times New Roman" w:eastAsia="宋体" w:cs="Times New Roman"/>
              </w:rPr>
            </w:pPr>
            <w:r>
              <w:rPr>
                <w:rFonts w:ascii="Times New Roman" w:hAnsi="Times New Roman" w:eastAsia="宋体" w:cs="Times New Roman"/>
              </w:rPr>
              <w:t>培氟沙星</w:t>
            </w:r>
          </w:p>
        </w:tc>
        <w:tc>
          <w:tcPr>
            <w:tcW w:w="1091" w:type="pct"/>
            <w:vAlign w:val="center"/>
          </w:tcPr>
          <w:p>
            <w:pPr>
              <w:jc w:val="center"/>
              <w:rPr>
                <w:rFonts w:ascii="Times New Roman" w:hAnsi="Times New Roman" w:eastAsia="宋体" w:cs="Times New Roman"/>
              </w:rPr>
            </w:pPr>
            <w:r>
              <w:rPr>
                <w:rFonts w:ascii="Times New Roman" w:hAnsi="Times New Roman" w:eastAsia="宋体" w:cs="Times New Roman"/>
                <w:shd w:val="clear" w:color="auto" w:fill="FFFFFF"/>
              </w:rPr>
              <w:t>Pefloxacin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y=1026x+14898</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0.9952</w:t>
            </w:r>
          </w:p>
        </w:tc>
      </w:tr>
      <w:bookmarkEnd w:id="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23</w:t>
            </w:r>
          </w:p>
        </w:tc>
        <w:tc>
          <w:tcPr>
            <w:tcW w:w="1135" w:type="pct"/>
            <w:vAlign w:val="center"/>
          </w:tcPr>
          <w:p>
            <w:pPr>
              <w:jc w:val="center"/>
              <w:rPr>
                <w:rFonts w:ascii="Times New Roman" w:hAnsi="Times New Roman" w:eastAsia="宋体" w:cs="Times New Roman"/>
              </w:rPr>
            </w:pPr>
            <w:bookmarkStart w:id="6" w:name="_Hlk536005444"/>
            <w:r>
              <w:rPr>
                <w:rFonts w:ascii="Times New Roman" w:hAnsi="Times New Roman" w:eastAsia="宋体" w:cs="Times New Roman"/>
              </w:rPr>
              <w:t>二氟沙星</w:t>
            </w:r>
            <w:bookmarkEnd w:id="6"/>
          </w:p>
        </w:tc>
        <w:tc>
          <w:tcPr>
            <w:tcW w:w="1091" w:type="pct"/>
            <w:vAlign w:val="center"/>
          </w:tcPr>
          <w:p>
            <w:pPr>
              <w:jc w:val="center"/>
              <w:rPr>
                <w:rFonts w:ascii="Times New Roman" w:hAnsi="Times New Roman" w:eastAsia="宋体" w:cs="Times New Roman"/>
              </w:rPr>
            </w:pPr>
            <w:r>
              <w:rPr>
                <w:rFonts w:ascii="Times New Roman" w:hAnsi="Times New Roman" w:eastAsia="宋体" w:cs="Times New Roman"/>
                <w:shd w:val="clear" w:color="auto" w:fill="FAFAFA"/>
              </w:rPr>
              <w:t xml:space="preserve">Difluoxacin </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y=472x+18826</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498" w:type="pct"/>
            <w:vAlign w:val="center"/>
          </w:tcPr>
          <w:p>
            <w:pPr>
              <w:jc w:val="center"/>
              <w:rPr>
                <w:rFonts w:ascii="Times New Roman" w:hAnsi="Times New Roman" w:cs="Times New Roman"/>
                <w:szCs w:val="21"/>
              </w:rPr>
            </w:pPr>
            <w:bookmarkStart w:id="7" w:name="_Hlk536005452"/>
            <w:r>
              <w:rPr>
                <w:rFonts w:ascii="Times New Roman" w:hAnsi="Times New Roman" w:cs="Times New Roman"/>
                <w:szCs w:val="21"/>
              </w:rPr>
              <w:t>24</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环丙沙星</w:t>
            </w:r>
          </w:p>
        </w:tc>
        <w:tc>
          <w:tcPr>
            <w:tcW w:w="1091" w:type="pct"/>
            <w:vAlign w:val="center"/>
          </w:tcPr>
          <w:p>
            <w:pPr>
              <w:widowControl/>
              <w:jc w:val="center"/>
              <w:textAlignment w:val="center"/>
              <w:rPr>
                <w:rFonts w:ascii="Times New Roman" w:hAnsi="Times New Roman" w:eastAsia="宋体" w:cs="Times New Roman"/>
                <w:b/>
                <w:bCs/>
              </w:rPr>
            </w:pPr>
            <w:r>
              <w:rPr>
                <w:rFonts w:ascii="Times New Roman" w:hAnsi="Times New Roman" w:cs="Times New Roman"/>
                <w:szCs w:val="21"/>
                <w:shd w:val="clear" w:color="auto" w:fill="FFFFFF"/>
              </w:rPr>
              <w:t>Ciprofloxacin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y=731x+29175</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25</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沙拉沙星</w:t>
            </w:r>
          </w:p>
        </w:tc>
        <w:tc>
          <w:tcPr>
            <w:tcW w:w="1091" w:type="pct"/>
            <w:vAlign w:val="center"/>
          </w:tcPr>
          <w:p>
            <w:pPr>
              <w:jc w:val="center"/>
              <w:rPr>
                <w:rFonts w:ascii="Times New Roman" w:hAnsi="Times New Roman" w:eastAsia="宋体" w:cs="Times New Roman"/>
              </w:rPr>
            </w:pPr>
            <w:r>
              <w:rPr>
                <w:rFonts w:ascii="Times New Roman" w:hAnsi="Times New Roman" w:cs="Times New Roman"/>
                <w:szCs w:val="21"/>
                <w:shd w:val="clear" w:color="auto" w:fill="FFFFFF"/>
              </w:rPr>
              <w:t>Sarafloxacin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y=604x+56741</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26</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洛美沙星</w:t>
            </w:r>
          </w:p>
        </w:tc>
        <w:tc>
          <w:tcPr>
            <w:tcW w:w="1091" w:type="pct"/>
            <w:vAlign w:val="center"/>
          </w:tcPr>
          <w:p>
            <w:pPr>
              <w:jc w:val="center"/>
              <w:rPr>
                <w:rFonts w:ascii="Times New Roman" w:hAnsi="Times New Roman" w:eastAsia="宋体" w:cs="Times New Roman"/>
              </w:rPr>
            </w:pPr>
            <w:r>
              <w:rPr>
                <w:rFonts w:ascii="Times New Roman" w:hAnsi="Times New Roman" w:cs="Times New Roman"/>
                <w:szCs w:val="21"/>
                <w:shd w:val="clear" w:color="auto" w:fill="FAFAFA"/>
              </w:rPr>
              <w:t>Lomefloxacin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y=107x+3189</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0.9954</w:t>
            </w:r>
          </w:p>
        </w:tc>
      </w:tr>
      <w:bookmarkEnd w:id="7"/>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bookmarkStart w:id="8" w:name="_Hlk536005465"/>
            <w:r>
              <w:rPr>
                <w:rFonts w:ascii="Times New Roman" w:hAnsi="Times New Roman" w:cs="Times New Roman"/>
                <w:szCs w:val="21"/>
              </w:rPr>
              <w:t>27</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氧氟沙星</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szCs w:val="21"/>
                <w:shd w:val="clear" w:color="auto" w:fill="FFFFFF"/>
              </w:rPr>
              <w:t>Ofloxacin</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y=206x+10295</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28</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氟甲喹</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szCs w:val="21"/>
                <w:shd w:val="clear" w:color="auto" w:fill="FFFFFF"/>
              </w:rPr>
              <w:t>flumequine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y=262x+4286</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29</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恶喹酸</w:t>
            </w:r>
          </w:p>
        </w:tc>
        <w:tc>
          <w:tcPr>
            <w:tcW w:w="1091" w:type="pct"/>
            <w:vAlign w:val="center"/>
          </w:tcPr>
          <w:p>
            <w:pPr>
              <w:widowControl/>
              <w:jc w:val="center"/>
              <w:textAlignment w:val="center"/>
              <w:rPr>
                <w:rFonts w:ascii="Times New Roman" w:hAnsi="Times New Roman" w:eastAsia="宋体" w:cs="Times New Roman"/>
                <w:kern w:val="0"/>
              </w:rPr>
            </w:pPr>
            <w:r>
              <w:rPr>
                <w:rFonts w:ascii="Times New Roman" w:hAnsi="Times New Roman" w:cs="Times New Roman"/>
                <w:szCs w:val="21"/>
                <w:shd w:val="clear" w:color="auto" w:fill="FFFFFF"/>
              </w:rPr>
              <w:t>Oxolinic Acid</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y=181x+9668</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0.9968</w:t>
            </w:r>
          </w:p>
        </w:tc>
      </w:tr>
      <w:bookmarkEnd w:id="8"/>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bookmarkStart w:id="9" w:name="_Hlk536005474"/>
            <w:r>
              <w:rPr>
                <w:rFonts w:ascii="Times New Roman" w:hAnsi="Times New Roman" w:cs="Times New Roman"/>
                <w:szCs w:val="21"/>
              </w:rPr>
              <w:t>30</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四环素</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szCs w:val="21"/>
                <w:shd w:val="clear" w:color="auto" w:fill="FFFFFF"/>
              </w:rPr>
              <w:t>Tetracycline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y=894x+1045</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31</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土霉素</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szCs w:val="21"/>
                <w:shd w:val="clear" w:color="auto" w:fill="FFFFFF"/>
              </w:rPr>
              <w:t>Oxytetracycline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y=206+1693</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32</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金霉素</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szCs w:val="21"/>
                <w:shd w:val="clear" w:color="auto" w:fill="FFFFFF"/>
              </w:rPr>
              <w:t>Chlortetracycline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y=400x+2571</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szCs w:val="21"/>
              </w:rPr>
            </w:pPr>
            <w:r>
              <w:rPr>
                <w:rFonts w:ascii="Times New Roman" w:hAnsi="Times New Roman" w:cs="Times New Roman"/>
                <w:szCs w:val="21"/>
              </w:rPr>
              <w:t>33</w:t>
            </w:r>
          </w:p>
        </w:tc>
        <w:tc>
          <w:tcPr>
            <w:tcW w:w="1135" w:type="pct"/>
            <w:vAlign w:val="center"/>
          </w:tcPr>
          <w:p>
            <w:pPr>
              <w:jc w:val="center"/>
              <w:rPr>
                <w:rFonts w:ascii="Times New Roman" w:hAnsi="Times New Roman" w:cs="Times New Roman"/>
                <w:szCs w:val="21"/>
              </w:rPr>
            </w:pPr>
            <w:r>
              <w:rPr>
                <w:rFonts w:ascii="Times New Roman" w:hAnsi="Times New Roman" w:cs="Times New Roman"/>
                <w:szCs w:val="21"/>
              </w:rPr>
              <w:t>多西环素</w:t>
            </w:r>
          </w:p>
        </w:tc>
        <w:tc>
          <w:tcPr>
            <w:tcW w:w="1091" w:type="pct"/>
            <w:vAlign w:val="center"/>
          </w:tcPr>
          <w:p>
            <w:pPr>
              <w:widowControl/>
              <w:jc w:val="center"/>
              <w:textAlignment w:val="center"/>
              <w:rPr>
                <w:rFonts w:ascii="Times New Roman" w:hAnsi="Times New Roman" w:eastAsia="宋体" w:cs="Times New Roman"/>
              </w:rPr>
            </w:pPr>
            <w:r>
              <w:rPr>
                <w:rFonts w:ascii="Times New Roman" w:hAnsi="Times New Roman" w:cs="Times New Roman"/>
                <w:szCs w:val="21"/>
                <w:shd w:val="clear" w:color="auto" w:fill="FFFFFF"/>
              </w:rPr>
              <w:t>Doxycycline</w:t>
            </w:r>
          </w:p>
        </w:tc>
        <w:tc>
          <w:tcPr>
            <w:tcW w:w="1255" w:type="pct"/>
            <w:vAlign w:val="center"/>
          </w:tcPr>
          <w:p>
            <w:pPr>
              <w:jc w:val="center"/>
              <w:rPr>
                <w:rFonts w:ascii="Times New Roman" w:hAnsi="Times New Roman" w:cs="Times New Roman"/>
                <w:szCs w:val="21"/>
              </w:rPr>
            </w:pPr>
            <w:r>
              <w:rPr>
                <w:rFonts w:ascii="Times New Roman" w:hAnsi="Times New Roman" w:cs="Times New Roman"/>
                <w:szCs w:val="21"/>
              </w:rPr>
              <w:t>y=688x+4958</w:t>
            </w:r>
          </w:p>
        </w:tc>
        <w:tc>
          <w:tcPr>
            <w:tcW w:w="1019" w:type="pct"/>
            <w:vAlign w:val="center"/>
          </w:tcPr>
          <w:p>
            <w:pPr>
              <w:jc w:val="center"/>
              <w:rPr>
                <w:rFonts w:ascii="Times New Roman" w:hAnsi="Times New Roman" w:cs="Times New Roman"/>
                <w:szCs w:val="21"/>
              </w:rPr>
            </w:pPr>
            <w:r>
              <w:rPr>
                <w:rFonts w:ascii="Times New Roman" w:hAnsi="Times New Roman" w:cs="Times New Roman"/>
                <w:szCs w:val="21"/>
              </w:rPr>
              <w:t>0.9976</w:t>
            </w:r>
          </w:p>
        </w:tc>
      </w:tr>
      <w:bookmarkEnd w:id="9"/>
    </w:tbl>
    <w:p>
      <w:pPr>
        <w:tabs>
          <w:tab w:val="left" w:pos="1600"/>
        </w:tabs>
        <w:rPr>
          <w:rFonts w:ascii="Times New Roman" w:hAnsi="Times New Roman" w:cs="Times New Roman"/>
          <w:b/>
          <w:bCs/>
        </w:rPr>
      </w:pPr>
    </w:p>
    <w:p>
      <w:pPr>
        <w:rPr>
          <w:rFonts w:ascii="Times New Roman" w:hAnsi="Times New Roman" w:cs="Times New Roman"/>
        </w:rPr>
      </w:pPr>
    </w:p>
    <w:p>
      <w:pPr>
        <w:tabs>
          <w:tab w:val="left" w:pos="1600"/>
        </w:tabs>
        <w:jc w:val="center"/>
        <w:rPr>
          <w:rFonts w:ascii="Times New Roman" w:hAnsi="Times New Roman" w:cs="Times New Roman"/>
        </w:rPr>
      </w:pPr>
      <w:r>
        <w:rPr>
          <w:rFonts w:ascii="Times New Roman" w:hAnsi="Times New Roman" w:eastAsia="宋体" w:cs="Times New Roman"/>
          <w:b/>
          <w:bCs/>
        </w:rPr>
        <w:t>表</w:t>
      </w:r>
      <w:r>
        <w:rPr>
          <w:rFonts w:hint="eastAsia" w:ascii="Times New Roman" w:hAnsi="Times New Roman" w:eastAsia="宋体" w:cs="Times New Roman"/>
          <w:b/>
          <w:bCs/>
        </w:rPr>
        <w:t>B</w:t>
      </w:r>
      <w:r>
        <w:rPr>
          <w:rFonts w:ascii="Times New Roman" w:hAnsi="Times New Roman" w:eastAsia="宋体" w:cs="Times New Roman"/>
          <w:b/>
          <w:bCs/>
        </w:rPr>
        <w:t>2猪场污水四环素类、磺胺类和喹诺酮类33种药物的线性方程</w:t>
      </w:r>
      <w:r>
        <w:rPr>
          <w:rFonts w:ascii="Times New Roman" w:hAnsi="Times New Roman" w:cs="Times New Roman"/>
          <w:b/>
          <w:bCs/>
        </w:rPr>
        <w:t>、相关系数</w:t>
      </w:r>
    </w:p>
    <w:tbl>
      <w:tblPr>
        <w:tblStyle w:val="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1"/>
        <w:gridCol w:w="3217"/>
        <w:gridCol w:w="3093"/>
        <w:gridCol w:w="3558"/>
        <w:gridCol w:w="2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序号</w:t>
            </w:r>
          </w:p>
        </w:tc>
        <w:tc>
          <w:tcPr>
            <w:tcW w:w="1135"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b/>
                <w:bCs/>
                <w:color w:val="0D0D0D" w:themeColor="text1" w:themeTint="F2"/>
                <w:kern w:val="0"/>
                <w:lang w:bidi="ar"/>
                <w14:textFill>
                  <w14:solidFill>
                    <w14:schemeClr w14:val="tx1">
                      <w14:lumMod w14:val="95000"/>
                      <w14:lumOff w14:val="5000"/>
                    </w14:schemeClr>
                  </w14:solidFill>
                </w14:textFill>
              </w:rPr>
              <w:t>中文名称</w:t>
            </w:r>
          </w:p>
        </w:tc>
        <w:tc>
          <w:tcPr>
            <w:tcW w:w="1091"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b/>
                <w:bCs/>
                <w:color w:val="0D0D0D" w:themeColor="text1" w:themeTint="F2"/>
                <w:kern w:val="0"/>
                <w:lang w:bidi="ar"/>
                <w14:textFill>
                  <w14:solidFill>
                    <w14:schemeClr w14:val="tx1">
                      <w14:lumMod w14:val="95000"/>
                      <w14:lumOff w14:val="5000"/>
                    </w14:schemeClr>
                  </w14:solidFill>
                </w14:textFill>
              </w:rPr>
              <w:t>英文名称</w:t>
            </w:r>
          </w:p>
        </w:tc>
        <w:tc>
          <w:tcPr>
            <w:tcW w:w="1255"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b/>
                <w:bCs/>
                <w:color w:val="0D0D0D" w:themeColor="text1" w:themeTint="F2"/>
                <w:kern w:val="0"/>
                <w:lang w:bidi="ar"/>
                <w14:textFill>
                  <w14:solidFill>
                    <w14:schemeClr w14:val="tx1">
                      <w14:lumMod w14:val="95000"/>
                      <w14:lumOff w14:val="5000"/>
                    </w14:schemeClr>
                  </w14:solidFill>
                </w14:textFill>
              </w:rPr>
              <w:t>线性回归方程</w:t>
            </w:r>
          </w:p>
        </w:tc>
        <w:tc>
          <w:tcPr>
            <w:tcW w:w="1019"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Style w:val="20"/>
                <w:rFonts w:eastAsia="宋体"/>
                <w:b/>
                <w:bCs/>
                <w:color w:val="0D0D0D" w:themeColor="text1" w:themeTint="F2"/>
                <w:sz w:val="21"/>
                <w:szCs w:val="24"/>
                <w:lang w:bidi="ar"/>
                <w14:textFill>
                  <w14:solidFill>
                    <w14:schemeClr w14:val="tx1">
                      <w14:lumMod w14:val="95000"/>
                      <w14:lumOff w14:val="5000"/>
                    </w14:schemeClr>
                  </w14:solidFill>
                </w14:textFill>
              </w:rPr>
              <w:t>相关系数/R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磺胺嘧啶</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Sulfadiazine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y=23878x-316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磺胺二甲基嘧啶</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Sulfadimidine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y=12990x+11757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磺胺氯哒嗪</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Sulfachloropyridazine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y=30596x+3054</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4</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磺胺甲噁唑</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Sulfamethoxazole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y=36732x+5276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5</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磺胺甲氧嗪</w:t>
            </w:r>
          </w:p>
        </w:tc>
        <w:tc>
          <w:tcPr>
            <w:tcW w:w="1091" w:type="pct"/>
            <w:vAlign w:val="center"/>
          </w:tcPr>
          <w:p>
            <w:pPr>
              <w:widowControl/>
              <w:jc w:val="center"/>
              <w:textAlignment w:val="center"/>
              <w:rPr>
                <w:rFonts w:ascii="Times New Roman" w:hAnsi="Times New Roman" w:eastAsia="宋体" w:cs="Times New Roman"/>
                <w:color w:val="0D0D0D" w:themeColor="text1" w:themeTint="F2"/>
                <w:kern w:val="0"/>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Sulfamethoxypyridazine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y=628x-182</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6</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磺胺对甲氧嘧啶</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bCs/>
                <w:color w:val="0D0D0D" w:themeColor="text1" w:themeTint="F2"/>
                <w14:textFill>
                  <w14:solidFill>
                    <w14:schemeClr w14:val="tx1">
                      <w14:lumMod w14:val="95000"/>
                      <w14:lumOff w14:val="5000"/>
                    </w14:schemeClr>
                  </w14:solidFill>
                </w14:textFill>
              </w:rPr>
              <w:t>Sulfameter</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y=554x+415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7</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磺胺间甲氧嘧啶</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hd w:val="clear" w:color="auto" w:fill="FFFFFF"/>
                <w14:textFill>
                  <w14:solidFill>
                    <w14:schemeClr w14:val="tx1">
                      <w14:lumMod w14:val="95000"/>
                      <w14:lumOff w14:val="5000"/>
                    </w14:schemeClr>
                  </w14:solidFill>
                </w14:textFill>
              </w:rPr>
              <w:t>S</w:t>
            </w: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ulfamonomethoxine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y=220x+100</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8</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磺胺噻唑</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hd w:val="clear" w:color="auto" w:fill="FFFFFF"/>
                <w14:textFill>
                  <w14:solidFill>
                    <w14:schemeClr w14:val="tx1">
                      <w14:lumMod w14:val="95000"/>
                      <w14:lumOff w14:val="5000"/>
                    </w14:schemeClr>
                  </w14:solidFill>
                </w14:textFill>
              </w:rPr>
              <w:t>S</w:t>
            </w: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ulfathiazole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y=67672x+9553</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9</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磺胺间二甲氧嘧啶</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Sulfadimethoxypyrimidine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y=13977x+59</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10</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磺胺甲噻二唑</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Sulfamethizole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y=27032x+4326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11</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磺胺苯吡唑</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Sulfaphenazolum</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y=26474x+1774</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12</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磺胺脒</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Sulfaguanidine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y=15163x+15525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13</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磺胺醋酰钠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Sulfacetamide Sodium</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y=13383x+17668</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14</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磺胺邻二甲氧嘧啶</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sulfadimoxine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y=30529x+8315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15</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磺胺喹噁啉</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Sulfaquinoxaline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y=24375x+13597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16</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诺氟沙星</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Norfloxacin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y=20708x+7680</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17</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氟罗沙星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hd w:val="clear" w:color="auto" w:fill="FFFFFF"/>
                <w14:textFill>
                  <w14:solidFill>
                    <w14:schemeClr w14:val="tx1">
                      <w14:lumMod w14:val="95000"/>
                      <w14:lumOff w14:val="5000"/>
                    </w14:schemeClr>
                  </w14:solidFill>
                </w14:textFill>
              </w:rPr>
              <w:t>Fleroxacin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y=42327x+3728</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18</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司帕沙星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Sparfloxacin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y=51272x+10727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19</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奥比沙星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Orbifloxacin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y=50740x+9346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20</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恩诺沙星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Enrofloxacin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y=23955x+4474</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21</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达氟沙星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hd w:val="clear" w:color="auto" w:fill="FFFFFF"/>
                <w14:textFill>
                  <w14:solidFill>
                    <w14:schemeClr w14:val="tx1">
                      <w14:lumMod w14:val="95000"/>
                      <w14:lumOff w14:val="5000"/>
                    </w14:schemeClr>
                  </w14:solidFill>
                </w14:textFill>
              </w:rPr>
              <w:t>D</w:t>
            </w: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anofloxacin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y=34569x+19679</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22</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培氟沙星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Pefloxacin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y=9755x+4088</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23</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二氟沙星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AFAFA"/>
                <w14:textFill>
                  <w14:solidFill>
                    <w14:schemeClr w14:val="tx1">
                      <w14:lumMod w14:val="95000"/>
                      <w14:lumOff w14:val="5000"/>
                    </w14:schemeClr>
                  </w14:solidFill>
                </w14:textFill>
              </w:rPr>
              <w:t xml:space="preserve">Difluoxacin </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y=21045x+4942</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24</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环丙沙星</w:t>
            </w:r>
          </w:p>
        </w:tc>
        <w:tc>
          <w:tcPr>
            <w:tcW w:w="1091"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Ciprofloxacin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y=26474x+3179</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25</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沙拉沙星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Sarafloxacin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y=16604x+1774</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26</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洛美沙星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AFAFA"/>
                <w14:textFill>
                  <w14:solidFill>
                    <w14:schemeClr w14:val="tx1">
                      <w14:lumMod w14:val="95000"/>
                      <w14:lumOff w14:val="5000"/>
                    </w14:schemeClr>
                  </w14:solidFill>
                </w14:textFill>
              </w:rPr>
              <w:t>Lomefloxacin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y=5214x+1717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27</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氧氟沙星</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Ofloxacin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y=52569x+5673</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28</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氟甲喹</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flumequine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y=4375x+16407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29</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恶喹酸</w:t>
            </w:r>
          </w:p>
        </w:tc>
        <w:tc>
          <w:tcPr>
            <w:tcW w:w="1091" w:type="pct"/>
            <w:vAlign w:val="center"/>
          </w:tcPr>
          <w:p>
            <w:pPr>
              <w:widowControl/>
              <w:jc w:val="center"/>
              <w:textAlignment w:val="center"/>
              <w:rPr>
                <w:rFonts w:ascii="Times New Roman" w:hAnsi="Times New Roman" w:eastAsia="宋体" w:cs="Times New Roman"/>
                <w:color w:val="0D0D0D" w:themeColor="text1" w:themeTint="F2"/>
                <w:kern w:val="0"/>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Oxolinic Acid</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y=54969x-316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30</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四环素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Tetracycline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y=32425x+3019</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31</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土霉素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Oxytetracycline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y=16091x+1355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32</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金霉素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Chlortetracycline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y=10232x+256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33</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多西环素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Doxycycline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y=4610x+24995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0.9983</w:t>
            </w:r>
          </w:p>
        </w:tc>
      </w:tr>
    </w:tbl>
    <w:p>
      <w:pPr>
        <w:jc w:val="center"/>
        <w:rPr>
          <w:rFonts w:ascii="Times New Roman" w:hAnsi="Times New Roman" w:cs="Times New Roman"/>
        </w:rPr>
      </w:pPr>
    </w:p>
    <w:p>
      <w:pPr>
        <w:jc w:val="center"/>
        <w:rPr>
          <w:rFonts w:ascii="Times New Roman" w:hAnsi="Times New Roman" w:cs="Times New Roman"/>
        </w:rPr>
      </w:pPr>
    </w:p>
    <w:p>
      <w:pPr>
        <w:tabs>
          <w:tab w:val="left" w:pos="1600"/>
        </w:tabs>
        <w:jc w:val="center"/>
        <w:rPr>
          <w:rFonts w:ascii="Times New Roman" w:hAnsi="Times New Roman" w:cs="Times New Roman"/>
        </w:rPr>
      </w:pPr>
      <w:r>
        <w:rPr>
          <w:rFonts w:ascii="Times New Roman" w:hAnsi="Times New Roman" w:eastAsia="宋体" w:cs="Times New Roman"/>
          <w:b/>
          <w:bCs/>
        </w:rPr>
        <w:t>表</w:t>
      </w:r>
      <w:r>
        <w:rPr>
          <w:rFonts w:hint="eastAsia" w:ascii="Times New Roman" w:hAnsi="Times New Roman" w:eastAsia="宋体" w:cs="Times New Roman"/>
          <w:b/>
          <w:bCs/>
        </w:rPr>
        <w:t>B</w:t>
      </w:r>
      <w:r>
        <w:rPr>
          <w:rFonts w:ascii="Times New Roman" w:hAnsi="Times New Roman" w:eastAsia="宋体" w:cs="Times New Roman"/>
          <w:b/>
          <w:bCs/>
        </w:rPr>
        <w:t>3牛场污水四环素类、磺胺类和喹诺酮类33种药物的线性方程</w:t>
      </w:r>
      <w:r>
        <w:rPr>
          <w:rFonts w:ascii="Times New Roman" w:hAnsi="Times New Roman" w:cs="Times New Roman"/>
          <w:b/>
          <w:bCs/>
        </w:rPr>
        <w:t>、相关系数</w:t>
      </w:r>
    </w:p>
    <w:tbl>
      <w:tblPr>
        <w:tblStyle w:val="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1"/>
        <w:gridCol w:w="3217"/>
        <w:gridCol w:w="3093"/>
        <w:gridCol w:w="3558"/>
        <w:gridCol w:w="2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序号</w:t>
            </w:r>
          </w:p>
        </w:tc>
        <w:tc>
          <w:tcPr>
            <w:tcW w:w="1135"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b/>
                <w:bCs/>
                <w:color w:val="0D0D0D" w:themeColor="text1" w:themeTint="F2"/>
                <w:kern w:val="0"/>
                <w:lang w:bidi="ar"/>
                <w14:textFill>
                  <w14:solidFill>
                    <w14:schemeClr w14:val="tx1">
                      <w14:lumMod w14:val="95000"/>
                      <w14:lumOff w14:val="5000"/>
                    </w14:schemeClr>
                  </w14:solidFill>
                </w14:textFill>
              </w:rPr>
              <w:t>中文名称</w:t>
            </w:r>
          </w:p>
        </w:tc>
        <w:tc>
          <w:tcPr>
            <w:tcW w:w="1091"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b/>
                <w:bCs/>
                <w:color w:val="0D0D0D" w:themeColor="text1" w:themeTint="F2"/>
                <w:kern w:val="0"/>
                <w:lang w:bidi="ar"/>
                <w14:textFill>
                  <w14:solidFill>
                    <w14:schemeClr w14:val="tx1">
                      <w14:lumMod w14:val="95000"/>
                      <w14:lumOff w14:val="5000"/>
                    </w14:schemeClr>
                  </w14:solidFill>
                </w14:textFill>
              </w:rPr>
              <w:t>英文名称</w:t>
            </w:r>
          </w:p>
        </w:tc>
        <w:tc>
          <w:tcPr>
            <w:tcW w:w="1255"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b/>
                <w:bCs/>
                <w:color w:val="0D0D0D" w:themeColor="text1" w:themeTint="F2"/>
                <w:kern w:val="0"/>
                <w:lang w:bidi="ar"/>
                <w14:textFill>
                  <w14:solidFill>
                    <w14:schemeClr w14:val="tx1">
                      <w14:lumMod w14:val="95000"/>
                      <w14:lumOff w14:val="5000"/>
                    </w14:schemeClr>
                  </w14:solidFill>
                </w14:textFill>
              </w:rPr>
              <w:t>线性回归方程</w:t>
            </w:r>
          </w:p>
        </w:tc>
        <w:tc>
          <w:tcPr>
            <w:tcW w:w="1019"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Style w:val="20"/>
                <w:rFonts w:eastAsia="宋体"/>
                <w:b/>
                <w:bCs/>
                <w:color w:val="0D0D0D" w:themeColor="text1" w:themeTint="F2"/>
                <w:sz w:val="21"/>
                <w:szCs w:val="24"/>
                <w:lang w:bidi="ar"/>
                <w14:textFill>
                  <w14:solidFill>
                    <w14:schemeClr w14:val="tx1">
                      <w14:lumMod w14:val="95000"/>
                      <w14:lumOff w14:val="5000"/>
                    </w14:schemeClr>
                  </w14:solidFill>
                </w14:textFill>
              </w:rPr>
              <w:t>相关系数/R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磺胺嘧啶</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Sulfadiazine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y=766x+1918</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磺胺二甲基嘧啶</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Sulfadimidine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y=233x+5460</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磺胺氯哒嗪</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Sulfachloropyridazine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y=654x+4170</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4</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磺胺甲噁唑</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Sulfamethoxazole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y=509x+3120</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5</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磺胺甲氧嗪</w:t>
            </w:r>
          </w:p>
        </w:tc>
        <w:tc>
          <w:tcPr>
            <w:tcW w:w="1091" w:type="pct"/>
            <w:vAlign w:val="center"/>
          </w:tcPr>
          <w:p>
            <w:pPr>
              <w:widowControl/>
              <w:jc w:val="center"/>
              <w:textAlignment w:val="center"/>
              <w:rPr>
                <w:rFonts w:ascii="Times New Roman" w:hAnsi="Times New Roman" w:eastAsia="宋体" w:cs="Times New Roman"/>
                <w:color w:val="0D0D0D" w:themeColor="text1" w:themeTint="F2"/>
                <w:kern w:val="0"/>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Sulfamethoxypyridazine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y=746x+2476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6</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磺胺对甲氧嘧啶</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bCs/>
                <w:color w:val="0D0D0D" w:themeColor="text1" w:themeTint="F2"/>
                <w14:textFill>
                  <w14:solidFill>
                    <w14:schemeClr w14:val="tx1">
                      <w14:lumMod w14:val="95000"/>
                      <w14:lumOff w14:val="5000"/>
                    </w14:schemeClr>
                  </w14:solidFill>
                </w14:textFill>
              </w:rPr>
              <w:t>Sulfameter</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y=816x+9028</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7</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磺胺间甲氧嘧啶</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hd w:val="clear" w:color="auto" w:fill="FFFFFF"/>
                <w14:textFill>
                  <w14:solidFill>
                    <w14:schemeClr w14:val="tx1">
                      <w14:lumMod w14:val="95000"/>
                      <w14:lumOff w14:val="5000"/>
                    </w14:schemeClr>
                  </w14:solidFill>
                </w14:textFill>
              </w:rPr>
              <w:t>S</w:t>
            </w: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ulfamonomethoxine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y=219x+8846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8</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磺胺噻唑</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hd w:val="clear" w:color="auto" w:fill="FFFFFF"/>
                <w14:textFill>
                  <w14:solidFill>
                    <w14:schemeClr w14:val="tx1">
                      <w14:lumMod w14:val="95000"/>
                      <w14:lumOff w14:val="5000"/>
                    </w14:schemeClr>
                  </w14:solidFill>
                </w14:textFill>
              </w:rPr>
              <w:t>S</w:t>
            </w: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ulfathiazole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y=118x+667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9</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磺胺间二甲氧嘧啶</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Sulfadimethoxypyrimidine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y=212x+8069</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10</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磺胺甲噻二唑</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Sulfamethizole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y=137x+2746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11</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磺胺苯吡唑</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Sulfaphenazolum</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y=112x+3525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12</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磺胺脒</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Sulfaguanidine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y=112x+3521</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13</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磺胺醋酰钠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Sulfacetamide Sodium</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y=854x+4006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14</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磺胺邻二甲氧嘧啶</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sulfadimoxine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y=223x+12605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15</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磺胺喹噁啉</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Sulfaquinoxaline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y=491x+54317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16</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诺氟沙星</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Norfloxacin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y=310x+13077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17</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氟罗沙星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hd w:val="clear" w:color="auto" w:fill="FFFFFF"/>
                <w14:textFill>
                  <w14:solidFill>
                    <w14:schemeClr w14:val="tx1">
                      <w14:lumMod w14:val="95000"/>
                      <w14:lumOff w14:val="5000"/>
                    </w14:schemeClr>
                  </w14:solidFill>
                </w14:textFill>
              </w:rPr>
              <w:t>Fleroxacin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y=173x+3482</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18</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司帕沙星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Sparfloxacin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y=532x+46501</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19</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奥比沙星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Orbifloxacin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y=327x+26522</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20</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恩诺沙星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Enrofloxacin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y=685x+23835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21</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达氟沙星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hd w:val="clear" w:color="auto" w:fill="FFFFFF"/>
                <w14:textFill>
                  <w14:solidFill>
                    <w14:schemeClr w14:val="tx1">
                      <w14:lumMod w14:val="95000"/>
                      <w14:lumOff w14:val="5000"/>
                    </w14:schemeClr>
                  </w14:solidFill>
                </w14:textFill>
              </w:rPr>
              <w:t>D</w:t>
            </w: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anofloxacin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y=499x+4158</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22</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培氟沙星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FFFFF"/>
                <w14:textFill>
                  <w14:solidFill>
                    <w14:schemeClr w14:val="tx1">
                      <w14:lumMod w14:val="95000"/>
                      <w14:lumOff w14:val="5000"/>
                    </w14:schemeClr>
                  </w14:solidFill>
                </w14:textFill>
              </w:rPr>
              <w:t>Pefloxacin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y=390x+3774</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23</w:t>
            </w:r>
          </w:p>
        </w:tc>
        <w:tc>
          <w:tcPr>
            <w:tcW w:w="1135"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14:textFill>
                  <w14:solidFill>
                    <w14:schemeClr w14:val="tx1">
                      <w14:lumMod w14:val="95000"/>
                      <w14:lumOff w14:val="5000"/>
                    </w14:schemeClr>
                  </w14:solidFill>
                </w14:textFill>
              </w:rPr>
              <w:t>二氟沙星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eastAsia="宋体" w:cs="Times New Roman"/>
                <w:color w:val="0D0D0D" w:themeColor="text1" w:themeTint="F2"/>
                <w:shd w:val="clear" w:color="auto" w:fill="FAFAFA"/>
                <w14:textFill>
                  <w14:solidFill>
                    <w14:schemeClr w14:val="tx1">
                      <w14:lumMod w14:val="95000"/>
                      <w14:lumOff w14:val="5000"/>
                    </w14:schemeClr>
                  </w14:solidFill>
                </w14:textFill>
              </w:rPr>
              <w:t xml:space="preserve">Difluoxacin </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y=374x+12861</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24</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环丙沙星</w:t>
            </w:r>
          </w:p>
        </w:tc>
        <w:tc>
          <w:tcPr>
            <w:tcW w:w="1091" w:type="pct"/>
            <w:vAlign w:val="center"/>
          </w:tcPr>
          <w:p>
            <w:pPr>
              <w:widowControl/>
              <w:jc w:val="center"/>
              <w:textAlignment w:val="center"/>
              <w:rPr>
                <w:rFonts w:ascii="Times New Roman" w:hAnsi="Times New Roman" w:eastAsia="宋体" w:cs="Times New Roman"/>
                <w:b/>
                <w:bCs/>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Ciprofloxacin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y=314x+16684</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25</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沙拉沙星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Sarafloxacin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y=307x+6245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26</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洛美沙星</w:t>
            </w:r>
          </w:p>
        </w:tc>
        <w:tc>
          <w:tcPr>
            <w:tcW w:w="1091" w:type="pct"/>
            <w:vAlign w:val="center"/>
          </w:tcPr>
          <w:p>
            <w:pPr>
              <w:jc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AFAFA"/>
                <w14:textFill>
                  <w14:solidFill>
                    <w14:schemeClr w14:val="tx1">
                      <w14:lumMod w14:val="95000"/>
                      <w14:lumOff w14:val="5000"/>
                    </w14:schemeClr>
                  </w14:solidFill>
                </w14:textFill>
              </w:rPr>
              <w:t>Lomefloxacin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y=190x+13999</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27</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氧氟沙星</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Ofloxacin</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y=215x+24970</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28</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氟甲喹</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flumequine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y=256x+3922</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29</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恶喹酸</w:t>
            </w:r>
          </w:p>
        </w:tc>
        <w:tc>
          <w:tcPr>
            <w:tcW w:w="1091" w:type="pct"/>
            <w:vAlign w:val="center"/>
          </w:tcPr>
          <w:p>
            <w:pPr>
              <w:widowControl/>
              <w:jc w:val="center"/>
              <w:textAlignment w:val="center"/>
              <w:rPr>
                <w:rFonts w:ascii="Times New Roman" w:hAnsi="Times New Roman" w:eastAsia="宋体" w:cs="Times New Roman"/>
                <w:color w:val="0D0D0D" w:themeColor="text1" w:themeTint="F2"/>
                <w:kern w:val="0"/>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Oxolinic Acid</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y=93x+6866</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30</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四环素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Tetracycline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y=187x+7427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31</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土霉素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Oxytetracycline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y=315x+2265</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32</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金霉素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Chlortetracycline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y=564x+6587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8"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33</w:t>
            </w:r>
          </w:p>
        </w:tc>
        <w:tc>
          <w:tcPr>
            <w:tcW w:w="113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多西环素</w:t>
            </w:r>
          </w:p>
        </w:tc>
        <w:tc>
          <w:tcPr>
            <w:tcW w:w="1091" w:type="pct"/>
            <w:vAlign w:val="center"/>
          </w:tcPr>
          <w:p>
            <w:pPr>
              <w:widowControl/>
              <w:jc w:val="center"/>
              <w:textAlignment w:val="center"/>
              <w:rPr>
                <w:rFonts w:ascii="Times New Roman" w:hAnsi="Times New Roman" w:eastAsia="宋体" w:cs="Times New Roman"/>
                <w:color w:val="0D0D0D" w:themeColor="text1" w:themeTint="F2"/>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shd w:val="clear" w:color="auto" w:fill="FFFFFF"/>
                <w14:textFill>
                  <w14:solidFill>
                    <w14:schemeClr w14:val="tx1">
                      <w14:lumMod w14:val="95000"/>
                      <w14:lumOff w14:val="5000"/>
                    </w14:schemeClr>
                  </w14:solidFill>
                </w14:textFill>
              </w:rPr>
              <w:t>Doxycycline</w:t>
            </w:r>
          </w:p>
        </w:tc>
        <w:tc>
          <w:tcPr>
            <w:tcW w:w="1255"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y=347x+5027</w:t>
            </w:r>
          </w:p>
        </w:tc>
        <w:tc>
          <w:tcPr>
            <w:tcW w:w="1019" w:type="pct"/>
            <w:vAlign w:val="center"/>
          </w:tcPr>
          <w:p>
            <w:pPr>
              <w:jc w:val="center"/>
              <w:rPr>
                <w:rFonts w:ascii="Times New Roman" w:hAnsi="Times New Roman" w:cs="Times New Roman"/>
                <w:color w:val="0D0D0D" w:themeColor="text1" w:themeTint="F2"/>
                <w:szCs w:val="21"/>
                <w14:textFill>
                  <w14:solidFill>
                    <w14:schemeClr w14:val="tx1">
                      <w14:lumMod w14:val="95000"/>
                      <w14:lumOff w14:val="5000"/>
                    </w14:schemeClr>
                  </w14:solidFill>
                </w14:textFill>
              </w:rPr>
            </w:pPr>
            <w:r>
              <w:rPr>
                <w:rFonts w:ascii="Times New Roman" w:hAnsi="Times New Roman" w:cs="Times New Roman"/>
                <w:color w:val="0D0D0D" w:themeColor="text1" w:themeTint="F2"/>
                <w:szCs w:val="21"/>
                <w14:textFill>
                  <w14:solidFill>
                    <w14:schemeClr w14:val="tx1">
                      <w14:lumMod w14:val="95000"/>
                      <w14:lumOff w14:val="5000"/>
                    </w14:schemeClr>
                  </w14:solidFill>
                </w14:textFill>
              </w:rPr>
              <w:t>0.9987</w:t>
            </w:r>
          </w:p>
        </w:tc>
      </w:tr>
    </w:tbl>
    <w:p>
      <w:pPr>
        <w:rPr>
          <w:rFonts w:ascii="Times New Roman" w:hAnsi="Times New Roman" w:cs="Times New Roman"/>
        </w:rPr>
        <w:sectPr>
          <w:pgSz w:w="16838" w:h="11906" w:orient="landscape"/>
          <w:pgMar w:top="1803" w:right="1440" w:bottom="1803" w:left="1440" w:header="851" w:footer="992" w:gutter="0"/>
          <w:cols w:space="0" w:num="1"/>
          <w:docGrid w:type="lines" w:linePitch="319" w:charSpace="0"/>
        </w:sectPr>
      </w:pPr>
    </w:p>
    <w:p>
      <w:pPr>
        <w:widowControl/>
        <w:spacing w:line="440" w:lineRule="exact"/>
        <w:jc w:val="center"/>
        <w:rPr>
          <w:rFonts w:ascii="Times New Roman" w:hAnsi="Times New Roman" w:cs="Times New Roman"/>
        </w:rPr>
      </w:pPr>
      <w:r>
        <w:rPr>
          <w:rFonts w:ascii="Times New Roman" w:hAnsi="Times New Roman" w:eastAsia="宋体" w:cs="Times New Roman"/>
          <w:b/>
          <w:bCs/>
        </w:rPr>
        <w:t>附录C添加回收率实验结果</w:t>
      </w:r>
    </w:p>
    <w:p>
      <w:pPr>
        <w:widowControl/>
        <w:spacing w:line="440" w:lineRule="exact"/>
        <w:jc w:val="center"/>
        <w:rPr>
          <w:rFonts w:ascii="Times New Roman" w:hAnsi="Times New Roman" w:eastAsia="宋体" w:cs="Times New Roman"/>
          <w:b/>
          <w:bCs/>
        </w:rPr>
      </w:pPr>
      <w:r>
        <w:rPr>
          <w:rFonts w:ascii="Times New Roman" w:hAnsi="Times New Roman" w:eastAsia="宋体" w:cs="Times New Roman"/>
          <w:b/>
          <w:bCs/>
        </w:rPr>
        <w:t>表C1 鸡养殖场污水中四环素类、磺胺类和喹诺酮类33种药物的添加回收率实验结果</w:t>
      </w:r>
    </w:p>
    <w:p>
      <w:pPr>
        <w:rPr>
          <w:rFonts w:ascii="Times New Roman" w:hAnsi="Times New Roman" w:cs="Times New Roman"/>
        </w:rPr>
      </w:pPr>
    </w:p>
    <w:tbl>
      <w:tblPr>
        <w:tblStyle w:val="9"/>
        <w:tblW w:w="4997" w:type="pct"/>
        <w:jc w:val="center"/>
        <w:tblLayout w:type="autofit"/>
        <w:tblCellMar>
          <w:top w:w="0" w:type="dxa"/>
          <w:left w:w="108" w:type="dxa"/>
          <w:bottom w:w="0" w:type="dxa"/>
          <w:right w:w="108" w:type="dxa"/>
        </w:tblCellMar>
      </w:tblPr>
      <w:tblGrid>
        <w:gridCol w:w="656"/>
        <w:gridCol w:w="858"/>
        <w:gridCol w:w="570"/>
        <w:gridCol w:w="814"/>
        <w:gridCol w:w="707"/>
        <w:gridCol w:w="794"/>
        <w:gridCol w:w="794"/>
        <w:gridCol w:w="794"/>
        <w:gridCol w:w="1146"/>
        <w:gridCol w:w="689"/>
        <w:gridCol w:w="689"/>
      </w:tblGrid>
      <w:tr>
        <w:tblPrEx>
          <w:tblCellMar>
            <w:top w:w="0" w:type="dxa"/>
            <w:left w:w="108" w:type="dxa"/>
            <w:bottom w:w="0" w:type="dxa"/>
            <w:right w:w="108" w:type="dxa"/>
          </w:tblCellMar>
        </w:tblPrEx>
        <w:trPr>
          <w:trHeight w:val="328" w:hRule="atLeast"/>
          <w:jc w:val="center"/>
        </w:trPr>
        <w:tc>
          <w:tcPr>
            <w:tcW w:w="421" w:type="pct"/>
            <w:tcBorders>
              <w:top w:val="single" w:color="auto" w:sz="4" w:space="0"/>
              <w:left w:val="single" w:color="auto" w:sz="4" w:space="0"/>
              <w:bottom w:val="single" w:color="auto" w:sz="4" w:space="0"/>
              <w:right w:val="single" w:color="auto" w:sz="4" w:space="0"/>
            </w:tcBorders>
          </w:tcPr>
          <w:p>
            <w:pPr>
              <w:widowControl/>
              <w:rPr>
                <w:rFonts w:ascii="Times New Roman" w:hAnsi="Times New Roman" w:cs="Times New Roman"/>
                <w:kern w:val="0"/>
                <w:sz w:val="22"/>
              </w:rPr>
            </w:pPr>
            <w:r>
              <w:rPr>
                <w:rFonts w:ascii="Times New Roman" w:hAnsi="Times New Roman" w:cs="Times New Roman"/>
                <w:kern w:val="0"/>
                <w:sz w:val="22"/>
              </w:rPr>
              <w:t>检测</w:t>
            </w:r>
          </w:p>
          <w:p>
            <w:pPr>
              <w:widowControl/>
              <w:rPr>
                <w:rFonts w:ascii="Times New Roman" w:hAnsi="Times New Roman" w:cs="Times New Roman"/>
                <w:kern w:val="0"/>
                <w:sz w:val="22"/>
              </w:rPr>
            </w:pPr>
            <w:r>
              <w:rPr>
                <w:rFonts w:ascii="Times New Roman" w:hAnsi="Times New Roman" w:cs="Times New Roman"/>
                <w:kern w:val="0"/>
                <w:sz w:val="22"/>
              </w:rPr>
              <w:t>药物</w:t>
            </w:r>
          </w:p>
        </w:tc>
        <w:tc>
          <w:tcPr>
            <w:tcW w:w="539" w:type="pct"/>
            <w:tcBorders>
              <w:top w:val="single" w:color="auto" w:sz="4" w:space="0"/>
              <w:left w:val="single" w:color="auto" w:sz="4" w:space="0"/>
              <w:bottom w:val="single" w:color="auto" w:sz="4" w:space="0"/>
              <w:right w:val="single" w:color="auto" w:sz="4" w:space="0"/>
            </w:tcBorders>
            <w:vAlign w:val="center"/>
          </w:tcPr>
          <w:p>
            <w:pPr>
              <w:widowControl/>
              <w:rPr>
                <w:rFonts w:ascii="Times New Roman" w:hAnsi="Times New Roman" w:cs="Times New Roman"/>
                <w:kern w:val="0"/>
                <w:sz w:val="22"/>
              </w:rPr>
            </w:pPr>
            <w:r>
              <w:rPr>
                <w:rFonts w:ascii="Times New Roman" w:hAnsi="Times New Roman" w:cs="Times New Roman"/>
                <w:kern w:val="0"/>
                <w:sz w:val="22"/>
              </w:rPr>
              <w:t>添加浓度</w:t>
            </w:r>
          </w:p>
        </w:tc>
        <w:tc>
          <w:tcPr>
            <w:tcW w:w="370"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测定</w:t>
            </w:r>
          </w:p>
          <w:p>
            <w:pPr>
              <w:widowControl/>
              <w:jc w:val="center"/>
              <w:rPr>
                <w:rFonts w:ascii="Times New Roman" w:hAnsi="Times New Roman" w:cs="Times New Roman"/>
                <w:kern w:val="0"/>
                <w:sz w:val="22"/>
              </w:rPr>
            </w:pPr>
            <w:r>
              <w:rPr>
                <w:rFonts w:ascii="Times New Roman" w:hAnsi="Times New Roman" w:cs="Times New Roman"/>
                <w:kern w:val="0"/>
                <w:sz w:val="22"/>
              </w:rPr>
              <w:t>批次</w:t>
            </w:r>
          </w:p>
        </w:tc>
        <w:tc>
          <w:tcPr>
            <w:tcW w:w="2262" w:type="pct"/>
            <w:gridSpan w:val="5"/>
            <w:tcBorders>
              <w:top w:val="single" w:color="auto" w:sz="4" w:space="0"/>
              <w:left w:val="nil"/>
              <w:bottom w:val="single" w:color="auto" w:sz="4" w:space="0"/>
              <w:right w:val="single" w:color="000000"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回收率</w:t>
            </w:r>
            <w:r>
              <w:rPr>
                <w:rFonts w:hint="eastAsia" w:ascii="Times New Roman" w:hAnsi="Times New Roman" w:cs="Times New Roman"/>
                <w:kern w:val="0"/>
                <w:sz w:val="22"/>
                <w:lang w:val="en-US" w:eastAsia="zh-CN"/>
              </w:rPr>
              <w:t>/</w:t>
            </w:r>
            <w:r>
              <w:rPr>
                <w:rFonts w:ascii="Times New Roman" w:hAnsi="Times New Roman" w:cs="Times New Roman"/>
                <w:kern w:val="0"/>
                <w:sz w:val="22"/>
              </w:rPr>
              <w:t>%</w:t>
            </w:r>
          </w:p>
        </w:tc>
        <w:tc>
          <w:tcPr>
            <w:tcW w:w="708"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平均回收率</w:t>
            </w:r>
            <w:r>
              <w:rPr>
                <w:rFonts w:hint="eastAsia" w:ascii="Times New Roman" w:hAnsi="Times New Roman" w:cs="Times New Roman"/>
                <w:kern w:val="0"/>
                <w:sz w:val="22"/>
                <w:lang w:val="en-US" w:eastAsia="zh-CN"/>
              </w:rPr>
              <w:t>/</w:t>
            </w:r>
            <w:r>
              <w:rPr>
                <w:rFonts w:ascii="Times New Roman" w:hAnsi="Times New Roman" w:cs="Times New Roman"/>
                <w:kern w:val="0"/>
                <w:sz w:val="22"/>
              </w:rPr>
              <w:t>%</w:t>
            </w:r>
          </w:p>
        </w:tc>
        <w:tc>
          <w:tcPr>
            <w:tcW w:w="348"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批内RSD</w:t>
            </w:r>
          </w:p>
        </w:tc>
        <w:tc>
          <w:tcPr>
            <w:tcW w:w="348"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批间RSD</w:t>
            </w: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88.30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3.93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86.20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103.30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91.24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105.30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87.36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4.93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87.12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99.58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89.76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88.56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5.48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73.14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83.08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79.55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89.18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磺胺二甲基</w:t>
            </w:r>
          </w:p>
          <w:p>
            <w:pPr>
              <w:jc w:val="center"/>
              <w:rPr>
                <w:rFonts w:ascii="Times New Roman" w:hAnsi="Times New Roman" w:cs="Times New Roman"/>
                <w:szCs w:val="21"/>
              </w:rPr>
            </w:pPr>
            <w:r>
              <w:rPr>
                <w:rFonts w:ascii="Times New Roman" w:hAnsi="Times New Roman" w:cs="Times New Roman"/>
                <w:szCs w:val="21"/>
              </w:rPr>
              <w:t>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86.80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92.50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93.90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78.02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80.31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91.10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86.88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70.16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90.70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11.38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70.56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65.98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84.31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73.60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13.29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79.84 </w:t>
            </w:r>
          </w:p>
        </w:tc>
        <w:tc>
          <w:tcPr>
            <w:tcW w:w="45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82.32 </w:t>
            </w:r>
          </w:p>
        </w:tc>
        <w:tc>
          <w:tcPr>
            <w:tcW w:w="42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磺胺氯哒嗪</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67.90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10.45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12.47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92.80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5.47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88.46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10.65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64.66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84.89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磺胺甲噁唑</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92.30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91.41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5.12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94.50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90.50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3.38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64.22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65.69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10.68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10.65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磺胺喹噁啉</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90.09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92.30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63.46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磺胺噻唑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11.45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91.40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65.98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90.70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11.42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74.61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66.42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磺胺甲噻二唑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89.50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96.70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85.68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14.02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90.64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92.08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60.86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2.97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67.41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63.53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磺胺苯吡唑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87.50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93.25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2.71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84.80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88.44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60.93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61.74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64.47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13.91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90.81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84.64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4.74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rPr>
                <w:rFonts w:ascii="Times New Roman" w:hAnsi="Times New Roman" w:cs="Times New Roman"/>
                <w:szCs w:val="21"/>
              </w:rPr>
            </w:pPr>
            <w:r>
              <w:rPr>
                <w:rFonts w:ascii="Times New Roman" w:hAnsi="Times New Roman" w:cs="Times New Roman"/>
                <w:szCs w:val="21"/>
              </w:rPr>
              <w:t>磺胺脒</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67.79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65.32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65.40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1.76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13.43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60.70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67.34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3.64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2.18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67.45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4.98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86.97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4.72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r>
              <w:rPr>
                <w:rFonts w:ascii="Times New Roman" w:hAnsi="Times New Roman" w:cs="Times New Roman"/>
                <w:szCs w:val="21"/>
              </w:rPr>
              <w:t>磺胺醋酰钠</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61.92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68.72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13.41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磺胺邻二甲氧嘧啶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3.03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96.47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90.47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98.27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94.07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92.05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61.45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10.90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85.61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91.97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68.70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63.11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66.07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66.57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3.27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3.07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64.61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67.34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3.94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磺胺对甲氧嘧啶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4.75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11.60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90.68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95.42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67.76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63.40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91.45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11.93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91.63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67.26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68.40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85.88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5.19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磺胺甲氧嗪</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94.94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90.54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5.28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66.41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11.31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86.88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4.46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98.97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90.65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96.07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92.51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5.25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63.62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86.92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97.77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 </w:t>
            </w:r>
          </w:p>
        </w:tc>
        <w:tc>
          <w:tcPr>
            <w:tcW w:w="348" w:type="pct"/>
            <w:vMerge w:val="continue"/>
            <w:tcBorders>
              <w:top w:val="nil"/>
              <w:left w:val="single" w:color="auto" w:sz="4" w:space="0"/>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top w:val="single" w:color="auto" w:sz="4" w:space="0"/>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磺胺间甲氧嘧啶</w:t>
            </w:r>
          </w:p>
        </w:tc>
        <w:tc>
          <w:tcPr>
            <w:tcW w:w="539" w:type="pct"/>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77.26 </w:t>
            </w:r>
          </w:p>
        </w:tc>
        <w:tc>
          <w:tcPr>
            <w:tcW w:w="450"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77.24 </w:t>
            </w:r>
          </w:p>
        </w:tc>
        <w:tc>
          <w:tcPr>
            <w:tcW w:w="425"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76.12 </w:t>
            </w:r>
          </w:p>
        </w:tc>
        <w:tc>
          <w:tcPr>
            <w:tcW w:w="435"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76.68 </w:t>
            </w:r>
          </w:p>
        </w:tc>
        <w:tc>
          <w:tcPr>
            <w:tcW w:w="437"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87.80 </w:t>
            </w:r>
          </w:p>
        </w:tc>
        <w:tc>
          <w:tcPr>
            <w:tcW w:w="708"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348"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 </w:t>
            </w:r>
          </w:p>
        </w:tc>
        <w:tc>
          <w:tcPr>
            <w:tcW w:w="348" w:type="pct"/>
            <w:vMerge w:val="restart"/>
            <w:tcBorders>
              <w:top w:val="single" w:color="auto" w:sz="4" w:space="0"/>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11.82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93.20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95.12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96.66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91.46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106.26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107.62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101.52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84.81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4.43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85.65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84.82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4.06 </w:t>
            </w:r>
          </w:p>
        </w:tc>
        <w:tc>
          <w:tcPr>
            <w:tcW w:w="348" w:type="pct"/>
            <w:vMerge w:val="restart"/>
            <w:tcBorders>
              <w:top w:val="nil"/>
              <w:left w:val="single" w:color="auto" w:sz="4" w:space="0"/>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top w:val="single" w:color="auto" w:sz="4" w:space="0"/>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single" w:color="auto" w:sz="4" w:space="0"/>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71.63 </w:t>
            </w:r>
          </w:p>
        </w:tc>
        <w:tc>
          <w:tcPr>
            <w:tcW w:w="450"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76.14 </w:t>
            </w:r>
          </w:p>
        </w:tc>
        <w:tc>
          <w:tcPr>
            <w:tcW w:w="425"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75.37 </w:t>
            </w:r>
          </w:p>
        </w:tc>
        <w:tc>
          <w:tcPr>
            <w:tcW w:w="435"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88.78 </w:t>
            </w:r>
          </w:p>
        </w:tc>
        <w:tc>
          <w:tcPr>
            <w:tcW w:w="437"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78.57 </w:t>
            </w:r>
          </w:p>
        </w:tc>
        <w:tc>
          <w:tcPr>
            <w:tcW w:w="708"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78.10 </w:t>
            </w:r>
          </w:p>
        </w:tc>
        <w:tc>
          <w:tcPr>
            <w:tcW w:w="348"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 </w:t>
            </w:r>
          </w:p>
        </w:tc>
        <w:tc>
          <w:tcPr>
            <w:tcW w:w="348" w:type="pct"/>
            <w:vMerge w:val="continue"/>
            <w:tcBorders>
              <w:top w:val="single" w:color="auto" w:sz="4" w:space="0"/>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89.56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91.92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97.61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95.16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91.38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93.13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磺胺间二甲氧嘧啶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11.94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66.58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95.98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92.28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86.89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3.61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4.84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恩诺沙星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74.60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3.63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85.60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68.48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3.78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63.64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66.59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13.14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3.61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3.21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氟甲喹</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68.24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87.58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84.28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61.08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66.84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84.67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60.88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11.18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司帕沙星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68.70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1.64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63.21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68.51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84.88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0.48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85.64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64.10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60.64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恶喹酸</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65.94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3.32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68.74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84.60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氧氟沙星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61.38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12.20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87.90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4.66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60.64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11.11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4.92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85.82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88.53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4.28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64.66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洛美沙星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66.52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4.68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67.38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74.67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12.21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沙拉沙星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66.54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66.82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86.84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87.52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10.23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61.56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63.26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86.25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14.74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86.96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13.20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环丙沙星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64.70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61.71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61.44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89.59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11.29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63"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诺氟沙星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5.27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87.52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66.04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61.12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10.42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4.20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68.20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13.02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12.23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88.11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89.54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84.61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87.98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培氟沙星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88.32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87.96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4.80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二氟沙星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61.54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61.86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10.26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67.40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88.56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达氟沙星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4.24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88.14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89.54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63.21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15.03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84.61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 </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 </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4.83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奥比沙星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3.76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88.46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65.45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64.61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63.23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13.92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62.64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10.61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91.81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10.20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12.80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88.08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13.69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氟罗沙星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60.70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68.40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14.16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90.08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4.01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61.90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61.74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94.54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68.74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68.27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土霉素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4.06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68.24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68.91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4.00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12.41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80.63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4.68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5.40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2.46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金霉素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10.22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2.66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72.98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67.74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11.90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88.53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11.18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74.61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5.44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91.71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93.97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80.04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多西环素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86.28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88.30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91.04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67.12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79.44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71.18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5.49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70.89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61.37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13.08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84.73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75.06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87.46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14.01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74.11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63.20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91.80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94.17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98.78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90.25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95.69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94.14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四环素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79.46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77.52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79.74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3.20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73.26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72.14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82.60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64.84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center"/>
              <w:rPr>
                <w:rFonts w:ascii="Times New Roman" w:hAnsi="Times New Roman" w:cs="Times New Roman"/>
                <w:kern w:val="0"/>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79.77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77.39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86.51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77.53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72.35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80.78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95.36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94.62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82.63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90.15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86.95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84.22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79.19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80.31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5.42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center"/>
              <w:rPr>
                <w:rFonts w:ascii="Times New Roman" w:hAnsi="Times New Roman" w:cs="Times New Roman"/>
                <w:kern w:val="0"/>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96.89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98.70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79.05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77.18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96.82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11.87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13.80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83.10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75.03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68.80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62.92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70.30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10.48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370"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513"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85.32 </w:t>
            </w:r>
          </w:p>
        </w:tc>
        <w:tc>
          <w:tcPr>
            <w:tcW w:w="45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92.40 </w:t>
            </w:r>
          </w:p>
        </w:tc>
        <w:tc>
          <w:tcPr>
            <w:tcW w:w="42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70.27 </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84.07 </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76.57 </w:t>
            </w:r>
          </w:p>
        </w:tc>
        <w:tc>
          <w:tcPr>
            <w:tcW w:w="70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10.42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bl>
    <w:p>
      <w:pPr>
        <w:rPr>
          <w:rFonts w:ascii="Times New Roman" w:hAnsi="Times New Roman" w:cs="Times New Roman"/>
        </w:rPr>
        <w:sectPr>
          <w:pgSz w:w="11906" w:h="16838"/>
          <w:pgMar w:top="1440" w:right="1803" w:bottom="1440" w:left="1803" w:header="851" w:footer="992" w:gutter="0"/>
          <w:cols w:space="0" w:num="1"/>
          <w:docGrid w:type="lines" w:linePitch="319" w:charSpace="0"/>
        </w:sectPr>
      </w:pPr>
    </w:p>
    <w:p>
      <w:pPr>
        <w:tabs>
          <w:tab w:val="left" w:pos="5120"/>
        </w:tabs>
        <w:rPr>
          <w:rFonts w:ascii="Times New Roman" w:hAnsi="Times New Roman" w:eastAsia="宋体" w:cs="Times New Roman"/>
        </w:rPr>
      </w:pPr>
      <w:r>
        <w:rPr>
          <w:rFonts w:ascii="Times New Roman" w:hAnsi="Times New Roman" w:eastAsia="宋体" w:cs="Times New Roman"/>
          <w:b/>
          <w:bCs/>
        </w:rPr>
        <w:t>表C2 猪养殖场污水中四环素类、磺胺类和喹诺酮类33种药物的添加回收率实验结果</w:t>
      </w:r>
    </w:p>
    <w:tbl>
      <w:tblPr>
        <w:tblStyle w:val="9"/>
        <w:tblW w:w="4997" w:type="pct"/>
        <w:jc w:val="center"/>
        <w:tblLayout w:type="autofit"/>
        <w:tblCellMar>
          <w:top w:w="0" w:type="dxa"/>
          <w:left w:w="108" w:type="dxa"/>
          <w:bottom w:w="0" w:type="dxa"/>
          <w:right w:w="108" w:type="dxa"/>
        </w:tblCellMar>
      </w:tblPr>
      <w:tblGrid>
        <w:gridCol w:w="666"/>
        <w:gridCol w:w="867"/>
        <w:gridCol w:w="857"/>
        <w:gridCol w:w="794"/>
        <w:gridCol w:w="689"/>
        <w:gridCol w:w="794"/>
        <w:gridCol w:w="794"/>
        <w:gridCol w:w="689"/>
        <w:gridCol w:w="983"/>
        <w:gridCol w:w="689"/>
        <w:gridCol w:w="689"/>
      </w:tblGrid>
      <w:tr>
        <w:tblPrEx>
          <w:tblCellMar>
            <w:top w:w="0" w:type="dxa"/>
            <w:left w:w="108" w:type="dxa"/>
            <w:bottom w:w="0" w:type="dxa"/>
            <w:right w:w="108" w:type="dxa"/>
          </w:tblCellMar>
        </w:tblPrEx>
        <w:trPr>
          <w:trHeight w:val="328" w:hRule="atLeast"/>
          <w:jc w:val="center"/>
        </w:trPr>
        <w:tc>
          <w:tcPr>
            <w:tcW w:w="421" w:type="pct"/>
            <w:tcBorders>
              <w:top w:val="single" w:color="auto" w:sz="4" w:space="0"/>
              <w:left w:val="single" w:color="auto" w:sz="4" w:space="0"/>
              <w:bottom w:val="single" w:color="auto" w:sz="4" w:space="0"/>
              <w:right w:val="single" w:color="auto" w:sz="4" w:space="0"/>
            </w:tcBorders>
          </w:tcPr>
          <w:p>
            <w:pPr>
              <w:widowControl/>
              <w:rPr>
                <w:rFonts w:ascii="Times New Roman" w:hAnsi="Times New Roman" w:cs="Times New Roman"/>
                <w:kern w:val="0"/>
                <w:sz w:val="22"/>
              </w:rPr>
            </w:pPr>
            <w:r>
              <w:rPr>
                <w:rFonts w:ascii="Times New Roman" w:hAnsi="Times New Roman" w:cs="Times New Roman"/>
                <w:kern w:val="0"/>
                <w:sz w:val="22"/>
              </w:rPr>
              <w:t>检测</w:t>
            </w:r>
          </w:p>
          <w:p>
            <w:pPr>
              <w:widowControl/>
              <w:rPr>
                <w:rFonts w:ascii="Times New Roman" w:hAnsi="Times New Roman" w:cs="Times New Roman"/>
                <w:kern w:val="0"/>
                <w:sz w:val="22"/>
              </w:rPr>
            </w:pPr>
            <w:r>
              <w:rPr>
                <w:rFonts w:ascii="Times New Roman" w:hAnsi="Times New Roman" w:cs="Times New Roman"/>
                <w:kern w:val="0"/>
                <w:sz w:val="22"/>
              </w:rPr>
              <w:t>药物</w:t>
            </w:r>
          </w:p>
        </w:tc>
        <w:tc>
          <w:tcPr>
            <w:tcW w:w="539" w:type="pct"/>
            <w:tcBorders>
              <w:top w:val="single" w:color="auto" w:sz="4" w:space="0"/>
              <w:left w:val="single" w:color="auto" w:sz="4" w:space="0"/>
              <w:bottom w:val="single" w:color="auto" w:sz="4" w:space="0"/>
              <w:right w:val="single" w:color="auto" w:sz="4" w:space="0"/>
            </w:tcBorders>
            <w:vAlign w:val="center"/>
          </w:tcPr>
          <w:p>
            <w:pPr>
              <w:widowControl/>
              <w:rPr>
                <w:rFonts w:ascii="Times New Roman" w:hAnsi="Times New Roman" w:cs="Times New Roman"/>
                <w:kern w:val="0"/>
                <w:sz w:val="22"/>
              </w:rPr>
            </w:pPr>
            <w:r>
              <w:rPr>
                <w:rFonts w:ascii="Times New Roman" w:hAnsi="Times New Roman" w:cs="Times New Roman"/>
                <w:kern w:val="0"/>
                <w:sz w:val="22"/>
              </w:rPr>
              <w:t>添加浓度</w:t>
            </w:r>
          </w:p>
        </w:tc>
        <w:tc>
          <w:tcPr>
            <w:tcW w:w="533"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测定</w:t>
            </w:r>
          </w:p>
          <w:p>
            <w:pPr>
              <w:widowControl/>
              <w:jc w:val="center"/>
              <w:rPr>
                <w:rFonts w:ascii="Times New Roman" w:hAnsi="Times New Roman" w:cs="Times New Roman"/>
                <w:kern w:val="0"/>
                <w:sz w:val="22"/>
              </w:rPr>
            </w:pPr>
            <w:r>
              <w:rPr>
                <w:rFonts w:ascii="Times New Roman" w:hAnsi="Times New Roman" w:cs="Times New Roman"/>
                <w:kern w:val="0"/>
                <w:sz w:val="22"/>
              </w:rPr>
              <w:t>批次</w:t>
            </w:r>
          </w:p>
        </w:tc>
        <w:tc>
          <w:tcPr>
            <w:tcW w:w="2198" w:type="pct"/>
            <w:gridSpan w:val="5"/>
            <w:tcBorders>
              <w:top w:val="single" w:color="auto" w:sz="4" w:space="0"/>
              <w:left w:val="nil"/>
              <w:bottom w:val="single" w:color="auto" w:sz="4" w:space="0"/>
              <w:right w:val="single" w:color="000000"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回收率</w:t>
            </w:r>
            <w:r>
              <w:rPr>
                <w:rFonts w:hint="eastAsia" w:ascii="Times New Roman" w:hAnsi="Times New Roman" w:cs="Times New Roman"/>
                <w:kern w:val="0"/>
                <w:sz w:val="22"/>
                <w:lang w:val="en-US" w:eastAsia="zh-CN"/>
              </w:rPr>
              <w:t>/</w:t>
            </w:r>
            <w:r>
              <w:rPr>
                <w:rFonts w:ascii="Times New Roman" w:hAnsi="Times New Roman" w:cs="Times New Roman"/>
                <w:kern w:val="0"/>
                <w:sz w:val="22"/>
              </w:rPr>
              <w:t>%</w:t>
            </w:r>
          </w:p>
        </w:tc>
        <w:tc>
          <w:tcPr>
            <w:tcW w:w="610"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平均回收率</w:t>
            </w:r>
            <w:r>
              <w:rPr>
                <w:rFonts w:hint="eastAsia" w:ascii="Times New Roman" w:hAnsi="Times New Roman" w:cs="Times New Roman"/>
                <w:kern w:val="0"/>
                <w:sz w:val="22"/>
                <w:lang w:val="en-US" w:eastAsia="zh-CN"/>
              </w:rPr>
              <w:t>/</w:t>
            </w:r>
            <w:r>
              <w:rPr>
                <w:rFonts w:ascii="Times New Roman" w:hAnsi="Times New Roman" w:cs="Times New Roman"/>
                <w:kern w:val="0"/>
                <w:sz w:val="22"/>
              </w:rPr>
              <w:t>%</w:t>
            </w:r>
          </w:p>
        </w:tc>
        <w:tc>
          <w:tcPr>
            <w:tcW w:w="348"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批内RSD</w:t>
            </w:r>
          </w:p>
        </w:tc>
        <w:tc>
          <w:tcPr>
            <w:tcW w:w="348"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批间RSD</w:t>
            </w: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93.60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89.50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4.02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Cs w:val="21"/>
                <w:lang w:bidi="ar"/>
              </w:rPr>
              <w:t xml:space="preserve">6.57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94.50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94.24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102.10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96.70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Cs w:val="21"/>
                <w:lang w:bidi="ar"/>
              </w:rPr>
              <w:t xml:space="preserve">8.07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98.58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11.83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Cs w:val="21"/>
                <w:lang w:bidi="ar"/>
              </w:rPr>
              <w:t xml:space="preserve">8.46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5.99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磺胺二甲基</w:t>
            </w:r>
          </w:p>
          <w:p>
            <w:pPr>
              <w:jc w:val="center"/>
              <w:rPr>
                <w:rFonts w:ascii="Times New Roman" w:hAnsi="Times New Roman" w:cs="Times New Roman"/>
                <w:szCs w:val="21"/>
              </w:rPr>
            </w:pPr>
            <w:r>
              <w:rPr>
                <w:rFonts w:ascii="Times New Roman" w:hAnsi="Times New Roman" w:cs="Times New Roman"/>
                <w:szCs w:val="21"/>
              </w:rPr>
              <w:t>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95.60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91.12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98.90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5.41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65.94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3.86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5.20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3.36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磺胺氯哒嗪</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5.98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3.89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74.66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3.03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磺胺甲噁唑</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3.74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8.18</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88.48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96.34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92.41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90.00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91.50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94.50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4.67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3.84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3.81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3.77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磺胺喹噁啉</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90.03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86.89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5.19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2.36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0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磺胺噻唑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88.06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3.15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82.40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65.68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5.14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3.09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磺胺甲噻二唑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3.10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95.70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87.52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84.20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76.60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磺胺苯吡唑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87.90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60.98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66.00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2.98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10.46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84.88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3.13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60.49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64.74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4.94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rPr>
                <w:rFonts w:ascii="Times New Roman" w:hAnsi="Times New Roman" w:cs="Times New Roman"/>
                <w:szCs w:val="21"/>
              </w:rPr>
            </w:pPr>
            <w:r>
              <w:rPr>
                <w:rFonts w:ascii="Times New Roman" w:hAnsi="Times New Roman" w:cs="Times New Roman"/>
                <w:szCs w:val="21"/>
              </w:rPr>
              <w:t>磺胺脒</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84.20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60.76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61.48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63.34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2.04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12.04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2.44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66.44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65.31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64.77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2.52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66.47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r>
              <w:rPr>
                <w:rFonts w:ascii="Times New Roman" w:hAnsi="Times New Roman" w:cs="Times New Roman"/>
                <w:szCs w:val="21"/>
              </w:rPr>
              <w:t>磺胺醋酰钠</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63.20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10.41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68.41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68.52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11.87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磺胺邻二甲氧嘧啶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88.40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3.23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91.15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87.93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67.72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64.42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4.06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14.17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90.96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98.47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96.47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93.27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92.65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87.56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69.37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91.61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4.06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磺胺对甲氧嘧啶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60.26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64.42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13.30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93.20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87.76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10.64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12.62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97.90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60.27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66.80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磺胺甲氧嗪</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91.54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10.40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13.44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97.17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98.65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92.07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90.71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13.22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87.77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95.98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 </w:t>
            </w:r>
          </w:p>
        </w:tc>
        <w:tc>
          <w:tcPr>
            <w:tcW w:w="348" w:type="pct"/>
            <w:vMerge w:val="continue"/>
            <w:tcBorders>
              <w:top w:val="nil"/>
              <w:left w:val="single" w:color="auto" w:sz="4" w:space="0"/>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top w:val="single" w:color="auto" w:sz="4" w:space="0"/>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磺胺间甲氧嘧啶</w:t>
            </w:r>
          </w:p>
        </w:tc>
        <w:tc>
          <w:tcPr>
            <w:tcW w:w="539" w:type="pct"/>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87.26 </w:t>
            </w:r>
          </w:p>
        </w:tc>
        <w:tc>
          <w:tcPr>
            <w:tcW w:w="427"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87.24 </w:t>
            </w:r>
          </w:p>
        </w:tc>
        <w:tc>
          <w:tcPr>
            <w:tcW w:w="435"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86.12 </w:t>
            </w:r>
          </w:p>
        </w:tc>
        <w:tc>
          <w:tcPr>
            <w:tcW w:w="435"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96.68 </w:t>
            </w:r>
          </w:p>
        </w:tc>
        <w:tc>
          <w:tcPr>
            <w:tcW w:w="437"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77.80 </w:t>
            </w:r>
          </w:p>
        </w:tc>
        <w:tc>
          <w:tcPr>
            <w:tcW w:w="610"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87.02 </w:t>
            </w:r>
          </w:p>
        </w:tc>
        <w:tc>
          <w:tcPr>
            <w:tcW w:w="348"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 </w:t>
            </w:r>
          </w:p>
        </w:tc>
        <w:tc>
          <w:tcPr>
            <w:tcW w:w="348" w:type="pct"/>
            <w:vMerge w:val="restart"/>
            <w:tcBorders>
              <w:top w:val="single" w:color="auto" w:sz="4" w:space="0"/>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94.52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94.12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93.34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99.42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100.26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97.62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91.52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96.43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3.97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87.91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93.17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83.87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3.50 </w:t>
            </w:r>
          </w:p>
        </w:tc>
        <w:tc>
          <w:tcPr>
            <w:tcW w:w="348" w:type="pct"/>
            <w:vMerge w:val="restart"/>
            <w:tcBorders>
              <w:top w:val="nil"/>
              <w:left w:val="single" w:color="auto" w:sz="4" w:space="0"/>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top w:val="single" w:color="auto" w:sz="4" w:space="0"/>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single" w:color="auto" w:sz="4" w:space="0"/>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91.63 </w:t>
            </w:r>
          </w:p>
        </w:tc>
        <w:tc>
          <w:tcPr>
            <w:tcW w:w="427"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96.14 </w:t>
            </w:r>
          </w:p>
        </w:tc>
        <w:tc>
          <w:tcPr>
            <w:tcW w:w="435"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95.37 </w:t>
            </w:r>
          </w:p>
        </w:tc>
        <w:tc>
          <w:tcPr>
            <w:tcW w:w="435"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88.78 </w:t>
            </w:r>
          </w:p>
        </w:tc>
        <w:tc>
          <w:tcPr>
            <w:tcW w:w="437"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88.57 </w:t>
            </w:r>
          </w:p>
        </w:tc>
        <w:tc>
          <w:tcPr>
            <w:tcW w:w="610"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92.10 </w:t>
            </w:r>
          </w:p>
        </w:tc>
        <w:tc>
          <w:tcPr>
            <w:tcW w:w="348" w:type="pct"/>
            <w:tcBorders>
              <w:top w:val="single" w:color="auto" w:sz="4" w:space="0"/>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3.87 </w:t>
            </w:r>
          </w:p>
        </w:tc>
        <w:tc>
          <w:tcPr>
            <w:tcW w:w="348" w:type="pct"/>
            <w:vMerge w:val="continue"/>
            <w:tcBorders>
              <w:top w:val="single" w:color="auto" w:sz="4" w:space="0"/>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96.56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6"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磺胺间二甲氧嘧啶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11.41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91.00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96.40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65.68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12.88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4.91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90.50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4.67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恩诺沙星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66.00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65.40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64.60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3.10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68.48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63.58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64.53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4.34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61.87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64.51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65.92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4.77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氟甲喹</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12.28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60.24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88.88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65.34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11.63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67.46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86.27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89.21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12.27</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64.55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66.08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60.87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司帕沙星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61.60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60.84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67.38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3.72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67.90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66.76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67.25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1.88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2.84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65.99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66.76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恶喹酸</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64.12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3.84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13.10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87.90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62.50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87.56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3.30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68.41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63.31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3.82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81.92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氧氟沙星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67.20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3.93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61.50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12.38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12.06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4.65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64.48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70.63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64.28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87.27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86.90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4.69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洛美沙星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64.12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64.56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68.75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65.65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67.20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66.77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4.01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67.16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76.41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72.03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72.51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4.82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沙拉沙星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79.34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61.42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68.55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86.68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85.66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4.87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68.59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84.98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87.96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85.15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4.13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63.01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63.18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66.88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4.31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环丙沙星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67.48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67.16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61.94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65.92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61.96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60.86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65.94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61.99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60.75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63.44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5.45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63.69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12.62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74.63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68.20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诺氟沙星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75.36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71.12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63.56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67.14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76.04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60.61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66.01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5.11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68.95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66.45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65.45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60.61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67.29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11.65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87.03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86.98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培氟沙星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88.38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85.42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82.96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4.48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77.67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70.73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88.56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79.57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88.45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85.85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84.79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79.03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2.99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3.68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3.04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85.28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二氟沙星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4.71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12.51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10.19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10.99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89.18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81.62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65.32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70.85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66.54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67.94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2.66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10.30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82.71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1.73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71.60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71.38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4.86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达氟沙星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80.56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5.92 </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65.14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6.26 </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64.34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67.21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3.48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11.38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73.35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89.61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80.61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 </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74.99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89.56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81.37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6.99 </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71.79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2.42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79.13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88.58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81.28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奥比沙星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80.90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78.80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9.76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73.50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85.90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87.80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12.14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73.00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78.46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79.44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78.13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74.54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79.79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71.77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氟罗沙星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60.70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11.58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87.40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74.40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72.67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63.20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63.34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1.96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12.46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84.80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1.56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70.14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69.22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4.44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68.38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67.83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62.12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66.56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84.42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85.54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83.69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1.56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73.46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73.10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85.66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75.10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土霉素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67.61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5.97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65.72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63.64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64.38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5.25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66.12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62.52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64.17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2.65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60.01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66.91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5.28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11.35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78.57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91.05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81.17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80.77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83.51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78.01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76.55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60.63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68.51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64.21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4.72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13.81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79.65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82.83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74.86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90.76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86.46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82.03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81.43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86.03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4.92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金霉素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60.58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71.87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67.28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8.43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83.04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83.22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64.48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62.96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61.38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70.98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66.77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69.58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63.93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64.83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5.11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14.35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89.48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88.23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88.91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82.19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86.86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87.13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3.36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72.72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60.86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71.43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10.08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70.24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64.61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72.35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61.84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68.24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6.97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12.49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83.76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82.52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94.48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83.30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70.04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75.21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62.20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67.99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多西环素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88.40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86.30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93.04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83.93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9.15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11.49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68.00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75.54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75.96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72.12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69.44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80.00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84.50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82.22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75.63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12.64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66.89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61.18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69.66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5.24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80.89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68.77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75.07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71.92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8.57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70.37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64.07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66.04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74.06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60.37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66.98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7.99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66.32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64.73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65.06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77.46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69.81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8.80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15.15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76.11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73.20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91.70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65.27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78.72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13.63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91.50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93.17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96.78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98.25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85.00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92.94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5.59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四环素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66.68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70.56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72.26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77.42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65.50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70.48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67.02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65.06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69.14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62.60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60.84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64.93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5.12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center"/>
              <w:rPr>
                <w:rFonts w:ascii="Times New Roman" w:hAnsi="Times New Roman" w:cs="Times New Roman"/>
                <w:kern w:val="0"/>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89.77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87.39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76.51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71.53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82.35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81.51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9.26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89.78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94.36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84.62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84.17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87.63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88.11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4.74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80.15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76.95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74.19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82.31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77.56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4.66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center"/>
              <w:rPr>
                <w:rFonts w:ascii="Times New Roman" w:hAnsi="Times New Roman" w:cs="Times New Roman"/>
                <w:kern w:val="0"/>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76.89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75.70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69.05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77.10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72.82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74.31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4.58 </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93.10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95.03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98.80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94.92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90.30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94.43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3.29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95.32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92.48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90.27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84.02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86.57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89.73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5.04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75.46 </w:t>
            </w:r>
          </w:p>
        </w:tc>
        <w:tc>
          <w:tcPr>
            <w:tcW w:w="42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67.52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65.85 </w:t>
            </w:r>
          </w:p>
        </w:tc>
        <w:tc>
          <w:tcPr>
            <w:tcW w:w="435"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77.74 </w:t>
            </w:r>
          </w:p>
        </w:tc>
        <w:tc>
          <w:tcPr>
            <w:tcW w:w="437"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63.87 </w:t>
            </w:r>
          </w:p>
        </w:tc>
        <w:tc>
          <w:tcPr>
            <w:tcW w:w="610"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70.09 </w:t>
            </w:r>
          </w:p>
        </w:tc>
        <w:tc>
          <w:tcPr>
            <w:tcW w:w="348" w:type="pct"/>
            <w:tcBorders>
              <w:top w:val="nil"/>
              <w:left w:val="nil"/>
              <w:bottom w:val="single" w:color="auto" w:sz="4" w:space="0"/>
              <w:right w:val="single" w:color="auto" w:sz="4" w:space="0"/>
            </w:tcBorders>
            <w:vAlign w:val="bottom"/>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8.76 </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bl>
    <w:p>
      <w:pPr>
        <w:tabs>
          <w:tab w:val="left" w:pos="5120"/>
        </w:tabs>
        <w:rPr>
          <w:rFonts w:ascii="Times New Roman" w:hAnsi="Times New Roman" w:eastAsia="宋体" w:cs="Times New Roman"/>
        </w:rPr>
      </w:pPr>
    </w:p>
    <w:p>
      <w:pPr>
        <w:tabs>
          <w:tab w:val="left" w:pos="5120"/>
        </w:tabs>
        <w:rPr>
          <w:rFonts w:ascii="Times New Roman" w:hAnsi="Times New Roman" w:eastAsia="宋体" w:cs="Times New Roman"/>
        </w:rPr>
      </w:pPr>
    </w:p>
    <w:p>
      <w:pPr>
        <w:tabs>
          <w:tab w:val="left" w:pos="5120"/>
        </w:tabs>
        <w:rPr>
          <w:rFonts w:ascii="Times New Roman" w:hAnsi="Times New Roman" w:eastAsia="宋体" w:cs="Times New Roman"/>
        </w:rPr>
      </w:pPr>
    </w:p>
    <w:p>
      <w:pPr>
        <w:widowControl/>
        <w:spacing w:line="440" w:lineRule="exact"/>
        <w:jc w:val="center"/>
        <w:rPr>
          <w:rFonts w:ascii="Times New Roman" w:hAnsi="Times New Roman" w:eastAsia="宋体" w:cs="Times New Roman"/>
        </w:rPr>
      </w:pPr>
      <w:r>
        <w:rPr>
          <w:rFonts w:ascii="Times New Roman" w:hAnsi="Times New Roman" w:eastAsia="宋体" w:cs="Times New Roman"/>
          <w:b/>
          <w:bCs/>
        </w:rPr>
        <w:t>表C3牛养殖场污水中四环素类、磺胺类和喹诺酮类33种药物的添加回收率实验结果</w:t>
      </w:r>
    </w:p>
    <w:tbl>
      <w:tblPr>
        <w:tblStyle w:val="9"/>
        <w:tblW w:w="4997" w:type="pct"/>
        <w:jc w:val="center"/>
        <w:tblLayout w:type="autofit"/>
        <w:tblCellMar>
          <w:top w:w="0" w:type="dxa"/>
          <w:left w:w="108" w:type="dxa"/>
          <w:bottom w:w="0" w:type="dxa"/>
          <w:right w:w="108" w:type="dxa"/>
        </w:tblCellMar>
      </w:tblPr>
      <w:tblGrid>
        <w:gridCol w:w="676"/>
        <w:gridCol w:w="877"/>
        <w:gridCol w:w="867"/>
        <w:gridCol w:w="794"/>
        <w:gridCol w:w="689"/>
        <w:gridCol w:w="741"/>
        <w:gridCol w:w="697"/>
        <w:gridCol w:w="794"/>
        <w:gridCol w:w="998"/>
        <w:gridCol w:w="689"/>
        <w:gridCol w:w="689"/>
      </w:tblGrid>
      <w:tr>
        <w:tblPrEx>
          <w:tblCellMar>
            <w:top w:w="0" w:type="dxa"/>
            <w:left w:w="108" w:type="dxa"/>
            <w:bottom w:w="0" w:type="dxa"/>
            <w:right w:w="108" w:type="dxa"/>
          </w:tblCellMar>
        </w:tblPrEx>
        <w:trPr>
          <w:trHeight w:val="328" w:hRule="atLeast"/>
          <w:jc w:val="center"/>
        </w:trPr>
        <w:tc>
          <w:tcPr>
            <w:tcW w:w="421" w:type="pct"/>
            <w:tcBorders>
              <w:top w:val="single" w:color="auto" w:sz="4" w:space="0"/>
              <w:left w:val="single" w:color="auto" w:sz="4" w:space="0"/>
              <w:bottom w:val="single" w:color="auto" w:sz="4" w:space="0"/>
              <w:right w:val="single" w:color="auto" w:sz="4" w:space="0"/>
            </w:tcBorders>
          </w:tcPr>
          <w:p>
            <w:pPr>
              <w:widowControl/>
              <w:rPr>
                <w:rFonts w:ascii="Times New Roman" w:hAnsi="Times New Roman" w:cs="Times New Roman"/>
                <w:kern w:val="0"/>
                <w:sz w:val="22"/>
              </w:rPr>
            </w:pPr>
            <w:r>
              <w:rPr>
                <w:rFonts w:ascii="Times New Roman" w:hAnsi="Times New Roman" w:cs="Times New Roman"/>
                <w:kern w:val="0"/>
                <w:sz w:val="22"/>
              </w:rPr>
              <w:t>检测</w:t>
            </w:r>
          </w:p>
          <w:p>
            <w:pPr>
              <w:widowControl/>
              <w:rPr>
                <w:rFonts w:ascii="Times New Roman" w:hAnsi="Times New Roman" w:cs="Times New Roman"/>
                <w:kern w:val="0"/>
                <w:sz w:val="22"/>
              </w:rPr>
            </w:pPr>
            <w:r>
              <w:rPr>
                <w:rFonts w:ascii="Times New Roman" w:hAnsi="Times New Roman" w:cs="Times New Roman"/>
                <w:kern w:val="0"/>
                <w:sz w:val="22"/>
              </w:rPr>
              <w:t>药物</w:t>
            </w:r>
          </w:p>
        </w:tc>
        <w:tc>
          <w:tcPr>
            <w:tcW w:w="539" w:type="pct"/>
            <w:tcBorders>
              <w:top w:val="single" w:color="auto" w:sz="4" w:space="0"/>
              <w:left w:val="single" w:color="auto" w:sz="4" w:space="0"/>
              <w:bottom w:val="single" w:color="auto" w:sz="4" w:space="0"/>
              <w:right w:val="single" w:color="auto" w:sz="4" w:space="0"/>
            </w:tcBorders>
            <w:vAlign w:val="center"/>
          </w:tcPr>
          <w:p>
            <w:pPr>
              <w:widowControl/>
              <w:rPr>
                <w:rFonts w:ascii="Times New Roman" w:hAnsi="Times New Roman" w:cs="Times New Roman"/>
                <w:kern w:val="0"/>
                <w:sz w:val="22"/>
              </w:rPr>
            </w:pPr>
            <w:r>
              <w:rPr>
                <w:rFonts w:ascii="Times New Roman" w:hAnsi="Times New Roman" w:cs="Times New Roman"/>
                <w:kern w:val="0"/>
                <w:sz w:val="22"/>
              </w:rPr>
              <w:t>添加浓度</w:t>
            </w:r>
          </w:p>
        </w:tc>
        <w:tc>
          <w:tcPr>
            <w:tcW w:w="533"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测定</w:t>
            </w:r>
          </w:p>
          <w:p>
            <w:pPr>
              <w:widowControl/>
              <w:jc w:val="center"/>
              <w:rPr>
                <w:rFonts w:ascii="Times New Roman" w:hAnsi="Times New Roman" w:cs="Times New Roman"/>
                <w:kern w:val="0"/>
                <w:sz w:val="22"/>
              </w:rPr>
            </w:pPr>
            <w:r>
              <w:rPr>
                <w:rFonts w:ascii="Times New Roman" w:hAnsi="Times New Roman" w:cs="Times New Roman"/>
                <w:kern w:val="0"/>
                <w:sz w:val="22"/>
              </w:rPr>
              <w:t>批次</w:t>
            </w:r>
          </w:p>
        </w:tc>
        <w:tc>
          <w:tcPr>
            <w:tcW w:w="2198" w:type="pct"/>
            <w:gridSpan w:val="5"/>
            <w:tcBorders>
              <w:top w:val="single" w:color="auto" w:sz="4" w:space="0"/>
              <w:left w:val="nil"/>
              <w:bottom w:val="single" w:color="auto" w:sz="4" w:space="0"/>
              <w:right w:val="single" w:color="000000"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回收率</w:t>
            </w:r>
            <w:r>
              <w:rPr>
                <w:rFonts w:hint="eastAsia" w:ascii="Times New Roman" w:hAnsi="Times New Roman" w:cs="Times New Roman"/>
                <w:kern w:val="0"/>
                <w:sz w:val="22"/>
                <w:lang w:val="en-US" w:eastAsia="zh-CN"/>
              </w:rPr>
              <w:t>/</w:t>
            </w:r>
            <w:r>
              <w:rPr>
                <w:rFonts w:ascii="Times New Roman" w:hAnsi="Times New Roman" w:cs="Times New Roman"/>
                <w:kern w:val="0"/>
                <w:sz w:val="22"/>
              </w:rPr>
              <w:t>%</w:t>
            </w:r>
          </w:p>
        </w:tc>
        <w:tc>
          <w:tcPr>
            <w:tcW w:w="610"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平均回收率</w:t>
            </w:r>
            <w:r>
              <w:rPr>
                <w:rFonts w:hint="eastAsia" w:ascii="Times New Roman" w:hAnsi="Times New Roman" w:cs="Times New Roman"/>
                <w:kern w:val="0"/>
                <w:sz w:val="22"/>
                <w:lang w:val="en-US" w:eastAsia="zh-CN"/>
              </w:rPr>
              <w:t>/</w:t>
            </w:r>
            <w:r>
              <w:rPr>
                <w:rFonts w:ascii="Times New Roman" w:hAnsi="Times New Roman" w:cs="Times New Roman"/>
                <w:kern w:val="0"/>
                <w:sz w:val="22"/>
              </w:rPr>
              <w:t>%</w:t>
            </w:r>
          </w:p>
        </w:tc>
        <w:tc>
          <w:tcPr>
            <w:tcW w:w="348"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批内RSD</w:t>
            </w:r>
          </w:p>
        </w:tc>
        <w:tc>
          <w:tcPr>
            <w:tcW w:w="348"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 w:val="22"/>
              </w:rPr>
            </w:pPr>
            <w:r>
              <w:rPr>
                <w:rFonts w:ascii="Times New Roman" w:hAnsi="Times New Roman" w:cs="Times New Roman"/>
                <w:kern w:val="0"/>
                <w:sz w:val="22"/>
              </w:rPr>
              <w:t>批间RSD</w:t>
            </w: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84.80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83.70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85.70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84.58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4.15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87.90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91.56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96.46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98.26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5.69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98.56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104.69</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92.90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10.92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89.84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94.62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5.86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6.19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94.61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95.28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88.54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90.64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98.65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88.46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81.59</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90.58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86.59</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84.63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90.52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4.98</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88.69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87.42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92.64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88.12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3.44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101.20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98.56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91.85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磺胺二甲基</w:t>
            </w:r>
          </w:p>
          <w:p>
            <w:pPr>
              <w:jc w:val="center"/>
              <w:rPr>
                <w:rFonts w:ascii="Times New Roman" w:hAnsi="Times New Roman" w:cs="Times New Roman"/>
                <w:szCs w:val="21"/>
              </w:rPr>
            </w:pPr>
            <w:r>
              <w:rPr>
                <w:rFonts w:ascii="Times New Roman" w:hAnsi="Times New Roman" w:cs="Times New Roman"/>
                <w:szCs w:val="21"/>
              </w:rPr>
              <w:t>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83.56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85.91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5.61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89.61</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92.68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94.60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90.14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4.36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88.74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91.32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86.61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80.46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87.47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4.66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7.15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92.13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89.44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85.18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72.15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83.57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80.61</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80.44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85.09</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2.75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96.12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97.43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88.07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10.81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78.55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磺胺氯哒嗪</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3.99</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83.31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11.51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86.95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84.19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86.45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78.82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83.92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11.15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70.32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8.49</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80.56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4.69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98.64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97.21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93.67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4.35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磺胺甲噁唑</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90.58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97.01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93.54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4.64</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6.05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85.10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85.18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90.21</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3.53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88.64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83.48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10.97</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79.46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76.58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4.90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93.21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93.36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4.16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82.51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80.06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5.04</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81.91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5.86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88.44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85.97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磺胺喹噁啉</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4.71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77.42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86.50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81.54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4.61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85.14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3.69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82.19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74.47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3.87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66.72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86.45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87.08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1.61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84.69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79.45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73.54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5.96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磺胺噻唑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85.70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90.90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79.10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81.10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78.40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72.40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79.80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82.60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75.50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91.40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81.92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85.28</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91.10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85.80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85.98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87.44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2.88</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71.59</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72.80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79.14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70.38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72.65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5.31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90.70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88.86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90.50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90.15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75.86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60.73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69.37</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80.86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72.64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10.76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10.99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81.79</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91.81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84.61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4.90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70.68</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69.00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79.88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80.42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93.22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12.29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磺胺甲噻二唑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75.18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4.73</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3.38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92.67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2.78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83.38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5.44</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85.31</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76.08</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70.86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62.80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64.58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75.10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79.47</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5.68</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76.60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82.41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80.92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73.53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80.97</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69.14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75.69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78.10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70.40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74.86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vAlign w:val="center"/>
          </w:tcPr>
          <w:p>
            <w:pPr>
              <w:jc w:val="center"/>
              <w:rPr>
                <w:rFonts w:ascii="Times New Roman" w:hAnsi="Times New Roman" w:cs="Times New Roman"/>
                <w:szCs w:val="21"/>
              </w:rPr>
            </w:pPr>
            <w:r>
              <w:rPr>
                <w:rFonts w:ascii="Times New Roman" w:hAnsi="Times New Roman" w:cs="Times New Roman"/>
                <w:szCs w:val="21"/>
              </w:rPr>
              <w:t>磺胺苯吡唑</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86.54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82.85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5.80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95.10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89.16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88.56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90.51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2.91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80.11</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88.10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86.41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90.30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82.80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80.98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82.28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78.32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80.73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2.37</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84.88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5.77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82.89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79.97</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70.93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83.70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84.99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71.74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81.66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95.62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91.56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84.69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rPr>
                <w:rFonts w:ascii="Times New Roman" w:hAnsi="Times New Roman" w:cs="Times New Roman"/>
                <w:szCs w:val="21"/>
              </w:rPr>
            </w:pPr>
            <w:r>
              <w:rPr>
                <w:rFonts w:ascii="Times New Roman" w:hAnsi="Times New Roman" w:cs="Times New Roman"/>
                <w:szCs w:val="21"/>
              </w:rPr>
              <w:t>磺胺脒</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75.46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5.55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72.56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71.07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1.62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82.96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75.77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5.38</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87.54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80.52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4.82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83.70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76.69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80.84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4.40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6.62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70.35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73.94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r>
              <w:rPr>
                <w:rFonts w:ascii="Times New Roman" w:hAnsi="Times New Roman" w:cs="Times New Roman"/>
                <w:szCs w:val="21"/>
              </w:rPr>
              <w:t>磺胺醋酰钠</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81.57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5.42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6.79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76.45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4.80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81.85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5.51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72.43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66.30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68.03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10.45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79.89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1.67</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8.56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71.30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62.03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71.76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5.57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磺胺邻二甲氧嘧啶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85.70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87.70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80.40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81.80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78.40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82.80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4.62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71.60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79.40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84.90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81.56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85.59</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82.74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81.15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91.93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5.67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4.52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8.26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92.30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99.14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91.90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81.88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77.54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75.52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5.53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87.04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4.50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磺胺对甲氧嘧啶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5.40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62.14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69.70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10.20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88.49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2.71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10.66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75.63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82.70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78.41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71.48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75.07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10.92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83.54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4.62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83.89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磺胺甲氧嗪</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84.88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5.39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87.04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2.84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86.65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91.54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90.58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5.91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9.80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70.42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72.15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76.76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10.13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79.13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7.42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87.30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82.57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auto"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87.85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5.60</w:t>
            </w:r>
          </w:p>
        </w:tc>
        <w:tc>
          <w:tcPr>
            <w:tcW w:w="348" w:type="pct"/>
            <w:vMerge w:val="continue"/>
            <w:tcBorders>
              <w:top w:val="nil"/>
              <w:left w:val="single" w:color="auto" w:sz="4" w:space="0"/>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top w:val="single" w:color="auto" w:sz="4" w:space="0"/>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磺胺间甲氧嘧啶</w:t>
            </w:r>
          </w:p>
        </w:tc>
        <w:tc>
          <w:tcPr>
            <w:tcW w:w="539" w:type="pct"/>
            <w:vMerge w:val="restart"/>
            <w:tcBorders>
              <w:top w:val="single" w:color="auto" w:sz="4" w:space="0"/>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87.36</w:t>
            </w:r>
          </w:p>
        </w:tc>
        <w:tc>
          <w:tcPr>
            <w:tcW w:w="427"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435"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86.25</w:t>
            </w:r>
          </w:p>
        </w:tc>
        <w:tc>
          <w:tcPr>
            <w:tcW w:w="435"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88.24</w:t>
            </w:r>
          </w:p>
        </w:tc>
        <w:tc>
          <w:tcPr>
            <w:tcW w:w="437"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87.02</w:t>
            </w:r>
          </w:p>
        </w:tc>
        <w:tc>
          <w:tcPr>
            <w:tcW w:w="610"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87.64</w:t>
            </w:r>
          </w:p>
        </w:tc>
        <w:tc>
          <w:tcPr>
            <w:tcW w:w="348"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1.36</w:t>
            </w:r>
          </w:p>
        </w:tc>
        <w:tc>
          <w:tcPr>
            <w:tcW w:w="348" w:type="pct"/>
            <w:vMerge w:val="restart"/>
            <w:tcBorders>
              <w:top w:val="single" w:color="auto" w:sz="4" w:space="0"/>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10.42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74.63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5.20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97.25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100.25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91.43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86.73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4.55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75.88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5.23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5.95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71.40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75.00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73.52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5.32</w:t>
            </w:r>
          </w:p>
        </w:tc>
        <w:tc>
          <w:tcPr>
            <w:tcW w:w="348" w:type="pct"/>
            <w:vMerge w:val="restart"/>
            <w:tcBorders>
              <w:top w:val="nil"/>
              <w:left w:val="single" w:color="auto" w:sz="4" w:space="0"/>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9.29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top w:val="single" w:color="auto" w:sz="4" w:space="0"/>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single" w:color="auto" w:sz="4" w:space="0"/>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single" w:color="auto" w:sz="4" w:space="0"/>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81.65</w:t>
            </w:r>
          </w:p>
        </w:tc>
        <w:tc>
          <w:tcPr>
            <w:tcW w:w="427"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5"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85.25</w:t>
            </w:r>
          </w:p>
        </w:tc>
        <w:tc>
          <w:tcPr>
            <w:tcW w:w="435"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82.40</w:t>
            </w:r>
          </w:p>
        </w:tc>
        <w:tc>
          <w:tcPr>
            <w:tcW w:w="437"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83.62</w:t>
            </w:r>
          </w:p>
        </w:tc>
        <w:tc>
          <w:tcPr>
            <w:tcW w:w="610"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84.46</w:t>
            </w:r>
          </w:p>
        </w:tc>
        <w:tc>
          <w:tcPr>
            <w:tcW w:w="348" w:type="pct"/>
            <w:tcBorders>
              <w:top w:val="single" w:color="auto" w:sz="4" w:space="0"/>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3.62</w:t>
            </w:r>
          </w:p>
        </w:tc>
        <w:tc>
          <w:tcPr>
            <w:tcW w:w="348" w:type="pct"/>
            <w:vMerge w:val="continue"/>
            <w:tcBorders>
              <w:top w:val="single" w:color="auto" w:sz="4" w:space="0"/>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87.16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磺胺间二甲氧嘧啶</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75.60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94.56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91.45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92.36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99.40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98.90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99.40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70.96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75.44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71.64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11.37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73.33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90.47</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98.36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92.23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恩诺沙星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2.70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62.13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66.81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4.72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5.17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74.89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77.18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2.11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88.04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83.40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6.38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86.41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78.86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76.16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74.03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62.54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68.63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87.54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76.79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14.03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氟甲喹</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75.10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64.60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62.04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70.46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10.63</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10.75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82.53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71.40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88.70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80.90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81.94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71.42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80.01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10.06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71.86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5.07</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89.65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88.53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87.56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83.85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69.00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69.60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10.14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85.98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4.89</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9.10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72.98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82.01</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4.54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司帕沙星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72.24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78.32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71.87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10.54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80.89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3.55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72.20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77.47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4.27</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63.20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61.84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65.14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82.20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83.91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5.93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78.44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13.02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62.01</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12.05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86.14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85.67</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87.40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89.12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4.33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恶喹酸</w:t>
            </w:r>
          </w:p>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60.47</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66.26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11.37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73.89</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75.57</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6.37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84.50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78.40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87.90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77.10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82.78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5.76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67.85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77.54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74.82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7.79</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82.10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5.43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60.13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67.01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4.61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5.62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88.59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5.67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氧氟沙星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74.32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12.46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66.20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63.20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63.82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5.27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82.67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82.64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5.55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7.29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77.45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10.56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82.12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9.34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61.58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71.15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11.34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洛美沙星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70.66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6.54</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10.00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75.04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89.52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75.94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14.68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85.37</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79.48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5.52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12.38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76.39</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67.04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13.51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80.08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3.13</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8.02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78.31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2.89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63.20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沙拉沙星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79.86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4.16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7.89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78.86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2.13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71.03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68.76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78.89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63.01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68.78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75.63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70.51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81.14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82.15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环丙沙星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6.79</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66.58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9.75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70.86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77.12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66.87</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13.17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71.27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5.60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8.64</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11.82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88.16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13.76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14.32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诺氟沙星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73.47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9.24</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8.93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5.48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75.10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5.48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74.54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8.19</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8.34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9.58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80.77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76.04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87.56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82.15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83.56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70.58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73.95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69.60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6.23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培氟沙星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74.56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63.58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68.81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6.74</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86.45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84.90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76.50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81.69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5.20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78.83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77.50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87.50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81.79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7.39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71.58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87.77</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76.69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84.60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83.94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73.84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5.72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7.63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82.45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88.54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82.54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76.80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88.04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76.59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二氟沙星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84.20</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8.10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82.71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78.82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77.46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11.40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76.58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73.61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5.42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10.20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83.45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80.56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70.90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12.19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达氟沙星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81.77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4.41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8.48</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84.56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74.65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77.79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73.68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68.71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5.29</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9.05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78.51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81.10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5.64</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79.29</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6.18</w:t>
            </w:r>
          </w:p>
        </w:tc>
        <w:tc>
          <w:tcPr>
            <w:tcW w:w="348" w:type="pct"/>
            <w:vMerge w:val="continue"/>
            <w:tcBorders>
              <w:top w:val="nil"/>
              <w:left w:val="single" w:color="auto" w:sz="4" w:space="0"/>
              <w:bottom w:val="single" w:color="000000" w:sz="4" w:space="0"/>
              <w:right w:val="single" w:color="auto" w:sz="4" w:space="0"/>
            </w:tcBorders>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10.12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89.45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83.94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66.38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65.59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69.52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奥比沙星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89.47</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76.58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82.23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6.63</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11.74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9.79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65.28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64.28</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66.90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70.70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10.22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80.58</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74.59</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80.42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8.42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77.69</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86.50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79.76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64.58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78.98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9.99</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9.53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73.45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11.08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氟罗沙星</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72.84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8.86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11.16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74.84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80.80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3.64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71.80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10.45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83.81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10.50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74.81</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11.66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85.63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土霉素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5.77</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5.02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78.69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82.45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81.06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4.82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77.68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4.47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78.56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66.29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64.19</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71.37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10.05</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9.68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75.18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82.13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84.06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70.06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79.52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10.33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89.46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75.13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8.67</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5.89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84.12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82.13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78.54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2.63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金霉素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66.42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72.18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6.53</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8.61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79.15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5.87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75.02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83.22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7.28</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10.72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11.06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82.04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75.32</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8.11</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78.41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88.16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69.48</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11.15</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88.16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87.69</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71.45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80.74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9.02</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6.27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82.13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88.40</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80.12</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81.45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86.90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82.97</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4.02</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多西环素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88.03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83.01</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80.46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80.99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5.88</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6.37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79.65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6.07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74.01</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78.15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64.03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64.36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70.83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10.50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9.94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74.26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6.86</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64.29</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11.14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75.04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88.24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82.80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7.16</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6.86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80.13</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79.26</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77.02</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80.40</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4.37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jc w:val="center"/>
              <w:rPr>
                <w:rFonts w:ascii="Times New Roman" w:hAnsi="Times New Roman" w:cs="Times New Roman"/>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89.34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92.05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83.46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94.05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89.24</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4.63</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restart"/>
            <w:tcBorders>
              <w:left w:val="single" w:color="auto" w:sz="4" w:space="0"/>
              <w:right w:val="single" w:color="auto" w:sz="4" w:space="0"/>
            </w:tcBorders>
          </w:tcPr>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p>
          <w:p>
            <w:pPr>
              <w:jc w:val="center"/>
              <w:rPr>
                <w:rFonts w:ascii="Times New Roman" w:hAnsi="Times New Roman" w:cs="Times New Roman"/>
                <w:szCs w:val="21"/>
              </w:rPr>
            </w:pPr>
            <w:r>
              <w:rPr>
                <w:rFonts w:ascii="Times New Roman" w:hAnsi="Times New Roman" w:cs="Times New Roman"/>
                <w:szCs w:val="21"/>
              </w:rPr>
              <w:t>四环素</w:t>
            </w: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61.25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72.88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10.40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9.97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83.54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89.24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76.25</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77.14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82.48</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6.87</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70.24</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75.16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70.58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69.23</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67.59</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70.56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4.00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center"/>
              <w:rPr>
                <w:rFonts w:ascii="Times New Roman" w:hAnsi="Times New Roman" w:cs="Times New Roman"/>
                <w:kern w:val="0"/>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10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80.23</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81.36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86.34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76.20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77.13</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80.25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5.00</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7.73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70.15</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82.54</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87.59</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80.65</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78.79</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9.04</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73.06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76.35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69.38</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89.02</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82.50</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78.06</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9.99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center"/>
              <w:rPr>
                <w:rFonts w:ascii="Times New Roman" w:hAnsi="Times New Roman" w:cs="Times New Roman"/>
                <w:kern w:val="0"/>
                <w:szCs w:val="21"/>
              </w:rPr>
            </w:pPr>
          </w:p>
        </w:tc>
        <w:tc>
          <w:tcPr>
            <w:tcW w:w="539" w:type="pct"/>
            <w:vMerge w:val="restart"/>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 xml:space="preserve">50 </w:t>
            </w:r>
            <w:r>
              <w:rPr>
                <w:rFonts w:ascii="Times New Roman" w:hAnsi="Times New Roman" w:cs="Times New Roman"/>
                <w:szCs w:val="21"/>
              </w:rPr>
              <w:t>μ</w:t>
            </w:r>
            <w:r>
              <w:rPr>
                <w:rFonts w:ascii="Times New Roman" w:hAnsi="Times New Roman" w:cs="Times New Roman"/>
                <w:kern w:val="0"/>
                <w:szCs w:val="21"/>
              </w:rPr>
              <w:t>g/L</w:t>
            </w: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Ⅰ</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85.26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93.01</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84.36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91.50</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97.54</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90.33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6.11</w:t>
            </w:r>
          </w:p>
        </w:tc>
        <w:tc>
          <w:tcPr>
            <w:tcW w:w="348" w:type="pct"/>
            <w:vMerge w:val="restart"/>
            <w:tcBorders>
              <w:top w:val="nil"/>
              <w:left w:val="single" w:color="auto" w:sz="4" w:space="0"/>
              <w:bottom w:val="single" w:color="000000"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 xml:space="preserve">10.80 </w:t>
            </w: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Ⅱ</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75.26</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71.35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83.54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87.26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79.35</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7.99</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r>
        <w:tblPrEx>
          <w:tblCellMar>
            <w:top w:w="0" w:type="dxa"/>
            <w:left w:w="108" w:type="dxa"/>
            <w:bottom w:w="0" w:type="dxa"/>
            <w:right w:w="108" w:type="dxa"/>
          </w:tblCellMar>
        </w:tblPrEx>
        <w:trPr>
          <w:cantSplit/>
          <w:trHeight w:val="328" w:hRule="atLeast"/>
          <w:jc w:val="center"/>
        </w:trPr>
        <w:tc>
          <w:tcPr>
            <w:tcW w:w="421" w:type="pct"/>
            <w:vMerge w:val="continue"/>
            <w:tcBorders>
              <w:left w:val="single" w:color="auto" w:sz="4" w:space="0"/>
              <w:bottom w:val="single" w:color="000000" w:sz="4" w:space="0"/>
              <w:right w:val="single" w:color="auto" w:sz="4" w:space="0"/>
            </w:tcBorders>
          </w:tcPr>
          <w:p>
            <w:pPr>
              <w:widowControl/>
              <w:jc w:val="left"/>
              <w:rPr>
                <w:rFonts w:ascii="Times New Roman" w:hAnsi="Times New Roman" w:cs="Times New Roman"/>
                <w:kern w:val="0"/>
                <w:szCs w:val="21"/>
              </w:rPr>
            </w:pPr>
          </w:p>
        </w:tc>
        <w:tc>
          <w:tcPr>
            <w:tcW w:w="539" w:type="pct"/>
            <w:vMerge w:val="continue"/>
            <w:tcBorders>
              <w:top w:val="nil"/>
              <w:left w:val="single" w:color="auto" w:sz="4" w:space="0"/>
              <w:bottom w:val="single" w:color="000000" w:sz="4" w:space="0"/>
              <w:right w:val="single" w:color="auto" w:sz="4" w:space="0"/>
            </w:tcBorders>
            <w:vAlign w:val="center"/>
          </w:tcPr>
          <w:p>
            <w:pPr>
              <w:widowControl/>
              <w:jc w:val="left"/>
              <w:rPr>
                <w:rFonts w:ascii="Times New Roman" w:hAnsi="Times New Roman" w:cs="Times New Roman"/>
                <w:kern w:val="0"/>
                <w:szCs w:val="21"/>
              </w:rPr>
            </w:pPr>
          </w:p>
        </w:tc>
        <w:tc>
          <w:tcPr>
            <w:tcW w:w="533" w:type="pct"/>
            <w:tcBorders>
              <w:top w:val="nil"/>
              <w:left w:val="nil"/>
              <w:bottom w:val="single" w:color="auto" w:sz="4" w:space="0"/>
              <w:right w:val="single" w:color="auto" w:sz="4" w:space="0"/>
            </w:tcBorders>
            <w:vAlign w:val="center"/>
          </w:tcPr>
          <w:p>
            <w:pPr>
              <w:widowControl/>
              <w:jc w:val="center"/>
              <w:rPr>
                <w:rFonts w:ascii="Times New Roman" w:hAnsi="Times New Roman" w:cs="Times New Roman"/>
                <w:kern w:val="0"/>
                <w:szCs w:val="21"/>
              </w:rPr>
            </w:pPr>
            <w:r>
              <w:rPr>
                <w:rFonts w:ascii="Times New Roman" w:hAnsi="Times New Roman" w:cs="Times New Roman"/>
                <w:kern w:val="0"/>
                <w:szCs w:val="21"/>
              </w:rPr>
              <w:t>Ⅲ</w:t>
            </w:r>
          </w:p>
        </w:tc>
        <w:tc>
          <w:tcPr>
            <w:tcW w:w="462"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77.36</w:t>
            </w:r>
          </w:p>
        </w:tc>
        <w:tc>
          <w:tcPr>
            <w:tcW w:w="42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69.35</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68.32</w:t>
            </w:r>
          </w:p>
        </w:tc>
        <w:tc>
          <w:tcPr>
            <w:tcW w:w="435"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79.34</w:t>
            </w:r>
          </w:p>
        </w:tc>
        <w:tc>
          <w:tcPr>
            <w:tcW w:w="437"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75.26</w:t>
            </w:r>
          </w:p>
        </w:tc>
        <w:tc>
          <w:tcPr>
            <w:tcW w:w="610"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73.93</w:t>
            </w:r>
          </w:p>
        </w:tc>
        <w:tc>
          <w:tcPr>
            <w:tcW w:w="348" w:type="pct"/>
            <w:tcBorders>
              <w:top w:val="nil"/>
              <w:left w:val="nil"/>
              <w:bottom w:val="single" w:color="auto" w:sz="4" w:space="0"/>
              <w:right w:val="single" w:color="auto" w:sz="4" w:space="0"/>
            </w:tcBorders>
            <w:vAlign w:val="center"/>
          </w:tcPr>
          <w:p>
            <w:pPr>
              <w:widowControl/>
              <w:jc w:val="center"/>
              <w:textAlignment w:val="bottom"/>
              <w:rPr>
                <w:rFonts w:ascii="Times New Roman" w:hAnsi="Times New Roman" w:eastAsia="宋体" w:cs="Times New Roman"/>
                <w:color w:val="000000"/>
                <w:kern w:val="0"/>
                <w:szCs w:val="21"/>
                <w:lang w:bidi="ar"/>
              </w:rPr>
            </w:pPr>
            <w:r>
              <w:rPr>
                <w:rFonts w:ascii="Times New Roman" w:hAnsi="Times New Roman" w:eastAsia="宋体" w:cs="Times New Roman"/>
                <w:color w:val="000000"/>
                <w:kern w:val="0"/>
                <w:szCs w:val="21"/>
                <w:lang w:bidi="ar"/>
              </w:rPr>
              <w:t>6.60</w:t>
            </w:r>
          </w:p>
        </w:tc>
        <w:tc>
          <w:tcPr>
            <w:tcW w:w="348" w:type="pct"/>
            <w:vMerge w:val="continue"/>
            <w:tcBorders>
              <w:top w:val="nil"/>
              <w:left w:val="single" w:color="auto" w:sz="4" w:space="0"/>
              <w:bottom w:val="single" w:color="000000" w:sz="4" w:space="0"/>
              <w:right w:val="single" w:color="auto" w:sz="4" w:space="0"/>
            </w:tcBorders>
            <w:vAlign w:val="center"/>
          </w:tcPr>
          <w:p>
            <w:pPr>
              <w:widowControl/>
              <w:jc w:val="center"/>
              <w:rPr>
                <w:rFonts w:ascii="Times New Roman" w:hAnsi="Times New Roman" w:cs="Times New Roman"/>
                <w:kern w:val="0"/>
                <w:szCs w:val="21"/>
              </w:rPr>
            </w:pPr>
          </w:p>
        </w:tc>
      </w:tr>
    </w:tbl>
    <w:p>
      <w:pPr>
        <w:tabs>
          <w:tab w:val="left" w:pos="5120"/>
        </w:tabs>
        <w:rPr>
          <w:rFonts w:ascii="Times New Roman" w:hAnsi="Times New Roman" w:eastAsia="宋体" w:cs="Times New Roman"/>
        </w:rPr>
      </w:pPr>
    </w:p>
    <w:p>
      <w:pPr>
        <w:tabs>
          <w:tab w:val="left" w:pos="5120"/>
        </w:tabs>
        <w:rPr>
          <w:rFonts w:ascii="Times New Roman" w:hAnsi="Times New Roman" w:eastAsia="宋体" w:cs="Times New Roman"/>
        </w:rPr>
      </w:pPr>
    </w:p>
    <w:p>
      <w:pPr>
        <w:jc w:val="center"/>
        <w:rPr>
          <w:rFonts w:ascii="Times New Roman" w:hAnsi="Times New Roman" w:eastAsia="宋体" w:cs="Times New Roman"/>
          <w:b/>
        </w:rPr>
      </w:pPr>
    </w:p>
    <w:p>
      <w:pPr>
        <w:rPr>
          <w:rFonts w:hint="eastAsia" w:ascii="Times New Roman" w:hAnsi="Times New Roman" w:eastAsia="宋体" w:cs="Times New Roman"/>
          <w:b/>
        </w:rPr>
      </w:pPr>
    </w:p>
    <w:p>
      <w:pPr>
        <w:rPr>
          <w:rFonts w:ascii="Times New Roman" w:hAnsi="Times New Roman" w:eastAsia="宋体" w:cs="Times New Roman"/>
          <w:b/>
        </w:rPr>
        <w:sectPr>
          <w:pgSz w:w="11906" w:h="16838"/>
          <w:pgMar w:top="1440" w:right="1803" w:bottom="1440" w:left="1803" w:header="851" w:footer="992" w:gutter="0"/>
          <w:cols w:space="0" w:num="1"/>
          <w:docGrid w:type="lines" w:linePitch="319" w:charSpace="0"/>
        </w:sectPr>
      </w:pPr>
    </w:p>
    <w:p>
      <w:pPr>
        <w:jc w:val="center"/>
        <w:rPr>
          <w:rFonts w:ascii="Times New Roman" w:hAnsi="Times New Roman" w:eastAsia="宋体" w:cs="Times New Roman"/>
          <w:b/>
        </w:rPr>
      </w:pPr>
      <w:r>
        <w:rPr>
          <w:rFonts w:hint="eastAsia" w:ascii="Times New Roman" w:hAnsi="Times New Roman" w:eastAsia="宋体" w:cs="Times New Roman"/>
          <w:b/>
        </w:rPr>
        <w:t>表C4：不同时间点的储备液稳定性</w:t>
      </w:r>
    </w:p>
    <w:tbl>
      <w:tblPr>
        <w:tblStyle w:val="9"/>
        <w:tblW w:w="462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5"/>
        <w:gridCol w:w="3161"/>
        <w:gridCol w:w="1170"/>
        <w:gridCol w:w="1170"/>
        <w:gridCol w:w="1170"/>
        <w:gridCol w:w="1170"/>
        <w:gridCol w:w="1170"/>
        <w:gridCol w:w="1170"/>
        <w:gridCol w:w="1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restart"/>
            <w:vAlign w:val="center"/>
          </w:tcPr>
          <w:p>
            <w:pPr>
              <w:jc w:val="center"/>
              <w:rPr>
                <w:rFonts w:hAnsi="宋体"/>
                <w:szCs w:val="21"/>
              </w:rPr>
            </w:pPr>
            <w:r>
              <w:rPr>
                <w:rFonts w:hint="eastAsia" w:ascii="Times New Roman" w:hAnsi="Times New Roman" w:eastAsia="宋体" w:cs="Times New Roman"/>
                <w:b/>
                <w:bCs/>
                <w:color w:val="000000"/>
              </w:rPr>
              <w:t>类别</w:t>
            </w:r>
          </w:p>
        </w:tc>
        <w:tc>
          <w:tcPr>
            <w:tcW w:w="1205" w:type="pct"/>
            <w:vMerge w:val="restart"/>
            <w:vAlign w:val="center"/>
          </w:tcPr>
          <w:p>
            <w:pPr>
              <w:widowControl/>
              <w:jc w:val="center"/>
              <w:textAlignment w:val="center"/>
              <w:rPr>
                <w:rFonts w:ascii="Times New Roman" w:hAnsi="Times New Roman" w:eastAsia="宋体" w:cs="Times New Roman"/>
                <w:b/>
                <w:bCs/>
                <w:color w:val="000000"/>
              </w:rPr>
            </w:pPr>
            <w:r>
              <w:rPr>
                <w:rFonts w:hint="eastAsia" w:ascii="Times New Roman" w:hAnsi="Times New Roman" w:eastAsia="宋体" w:cs="Times New Roman"/>
                <w:b/>
                <w:bCs/>
                <w:color w:val="000000"/>
              </w:rPr>
              <w:t>药物名称</w:t>
            </w:r>
          </w:p>
        </w:tc>
        <w:tc>
          <w:tcPr>
            <w:tcW w:w="3125" w:type="pct"/>
            <w:gridSpan w:val="7"/>
            <w:vAlign w:val="center"/>
          </w:tcPr>
          <w:p>
            <w:pPr>
              <w:widowControl/>
              <w:jc w:val="center"/>
              <w:textAlignment w:val="center"/>
              <w:rPr>
                <w:rFonts w:ascii="Times New Roman" w:hAnsi="Times New Roman" w:eastAsia="宋体" w:cs="Times New Roman"/>
                <w:b/>
                <w:bCs/>
                <w:color w:val="000000"/>
              </w:rPr>
            </w:pPr>
            <w:r>
              <w:rPr>
                <w:rFonts w:hint="eastAsia" w:ascii="Times New Roman" w:hAnsi="Times New Roman" w:eastAsia="宋体" w:cs="Times New Roman"/>
                <w:b/>
                <w:bCs/>
                <w:color w:val="000000"/>
              </w:rPr>
              <w:t>回收率</w:t>
            </w:r>
            <w:r>
              <w:rPr>
                <w:rFonts w:hint="eastAsia" w:ascii="Times New Roman" w:hAnsi="Times New Roman" w:eastAsia="宋体" w:cs="Times New Roman"/>
                <w:b/>
                <w:bCs/>
                <w:color w:val="000000"/>
                <w:lang w:val="en-US" w:eastAsia="zh-CN"/>
              </w:rPr>
              <w:t>/</w:t>
            </w:r>
            <w:r>
              <w:rPr>
                <w:rFonts w:hint="eastAsia" w:ascii="Times New Roman" w:hAnsi="Times New Roman" w:eastAsia="宋体" w:cs="Times New Roman"/>
                <w:b/>
                <w:bCs/>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rFonts w:hAnsi="宋体"/>
                <w:szCs w:val="21"/>
              </w:rPr>
            </w:pPr>
          </w:p>
        </w:tc>
        <w:tc>
          <w:tcPr>
            <w:tcW w:w="1205" w:type="pct"/>
            <w:vMerge w:val="continue"/>
            <w:vAlign w:val="center"/>
          </w:tcPr>
          <w:p>
            <w:pPr>
              <w:widowControl/>
              <w:jc w:val="center"/>
              <w:textAlignment w:val="center"/>
              <w:rPr>
                <w:rFonts w:ascii="Times New Roman" w:hAnsi="Times New Roman" w:eastAsia="宋体" w:cs="Times New Roman"/>
                <w:b/>
                <w:bCs/>
                <w:color w:val="000000"/>
              </w:rPr>
            </w:pPr>
          </w:p>
        </w:tc>
        <w:tc>
          <w:tcPr>
            <w:tcW w:w="446" w:type="pct"/>
            <w:vAlign w:val="center"/>
          </w:tcPr>
          <w:p>
            <w:pPr>
              <w:widowControl/>
              <w:jc w:val="center"/>
              <w:textAlignment w:val="center"/>
              <w:rPr>
                <w:rFonts w:ascii="Times New Roman" w:hAnsi="Times New Roman" w:eastAsia="宋体" w:cs="Times New Roman"/>
                <w:b/>
                <w:bCs/>
                <w:color w:val="000000"/>
              </w:rPr>
            </w:pPr>
            <w:r>
              <w:rPr>
                <w:rFonts w:hint="eastAsia" w:ascii="Times New Roman" w:hAnsi="Times New Roman" w:eastAsia="宋体" w:cs="Times New Roman"/>
                <w:b/>
                <w:bCs/>
                <w:color w:val="000000"/>
              </w:rPr>
              <w:t>7天</w:t>
            </w:r>
          </w:p>
        </w:tc>
        <w:tc>
          <w:tcPr>
            <w:tcW w:w="446" w:type="pct"/>
            <w:vAlign w:val="center"/>
          </w:tcPr>
          <w:p>
            <w:pPr>
              <w:widowControl/>
              <w:jc w:val="center"/>
              <w:textAlignment w:val="center"/>
              <w:rPr>
                <w:rFonts w:ascii="Times New Roman" w:hAnsi="Times New Roman" w:eastAsia="宋体" w:cs="Times New Roman"/>
                <w:b/>
                <w:bCs/>
                <w:color w:val="000000"/>
                <w:kern w:val="0"/>
                <w:lang w:bidi="ar"/>
              </w:rPr>
            </w:pPr>
            <w:r>
              <w:rPr>
                <w:rFonts w:hint="eastAsia" w:ascii="Times New Roman" w:hAnsi="Times New Roman" w:eastAsia="宋体" w:cs="Times New Roman"/>
                <w:b/>
                <w:bCs/>
                <w:color w:val="000000"/>
                <w:kern w:val="0"/>
                <w:lang w:bidi="ar"/>
              </w:rPr>
              <w:t>15天</w:t>
            </w:r>
          </w:p>
        </w:tc>
        <w:tc>
          <w:tcPr>
            <w:tcW w:w="446" w:type="pct"/>
            <w:vAlign w:val="center"/>
          </w:tcPr>
          <w:p>
            <w:pPr>
              <w:widowControl/>
              <w:jc w:val="center"/>
              <w:textAlignment w:val="center"/>
              <w:rPr>
                <w:rFonts w:ascii="Times New Roman" w:hAnsi="Times New Roman" w:eastAsia="宋体" w:cs="Times New Roman"/>
                <w:b/>
                <w:bCs/>
                <w:color w:val="000000"/>
              </w:rPr>
            </w:pPr>
            <w:r>
              <w:rPr>
                <w:rFonts w:hint="eastAsia" w:ascii="Times New Roman" w:hAnsi="Times New Roman" w:eastAsia="宋体" w:cs="Times New Roman"/>
                <w:b/>
                <w:bCs/>
                <w:color w:val="000000"/>
              </w:rPr>
              <w:t>1个月</w:t>
            </w:r>
          </w:p>
        </w:tc>
        <w:tc>
          <w:tcPr>
            <w:tcW w:w="446" w:type="pct"/>
            <w:vAlign w:val="center"/>
          </w:tcPr>
          <w:p>
            <w:pPr>
              <w:widowControl/>
              <w:jc w:val="center"/>
              <w:textAlignment w:val="center"/>
              <w:rPr>
                <w:rFonts w:ascii="Times New Roman" w:hAnsi="Times New Roman" w:eastAsia="宋体" w:cs="Times New Roman"/>
                <w:b/>
                <w:bCs/>
                <w:color w:val="000000"/>
              </w:rPr>
            </w:pPr>
            <w:r>
              <w:rPr>
                <w:rFonts w:hint="eastAsia" w:ascii="Times New Roman" w:hAnsi="Times New Roman" w:eastAsia="宋体" w:cs="Times New Roman"/>
                <w:b/>
                <w:bCs/>
                <w:color w:val="000000"/>
              </w:rPr>
              <w:t>1.5个月</w:t>
            </w:r>
          </w:p>
        </w:tc>
        <w:tc>
          <w:tcPr>
            <w:tcW w:w="446" w:type="pct"/>
            <w:vAlign w:val="center"/>
          </w:tcPr>
          <w:p>
            <w:pPr>
              <w:widowControl/>
              <w:jc w:val="center"/>
              <w:textAlignment w:val="center"/>
              <w:rPr>
                <w:rFonts w:ascii="Times New Roman" w:hAnsi="Times New Roman" w:eastAsia="宋体" w:cs="Times New Roman"/>
                <w:b/>
                <w:bCs/>
                <w:color w:val="000000"/>
              </w:rPr>
            </w:pPr>
            <w:r>
              <w:rPr>
                <w:rFonts w:hint="eastAsia" w:ascii="Times New Roman" w:hAnsi="Times New Roman" w:eastAsia="宋体" w:cs="Times New Roman"/>
                <w:b/>
                <w:bCs/>
                <w:color w:val="000000"/>
              </w:rPr>
              <w:t>3个月</w:t>
            </w:r>
          </w:p>
        </w:tc>
        <w:tc>
          <w:tcPr>
            <w:tcW w:w="446" w:type="pct"/>
            <w:vAlign w:val="center"/>
          </w:tcPr>
          <w:p>
            <w:pPr>
              <w:widowControl/>
              <w:jc w:val="center"/>
              <w:textAlignment w:val="center"/>
              <w:rPr>
                <w:rFonts w:ascii="Times New Roman" w:hAnsi="Times New Roman" w:eastAsia="宋体" w:cs="Times New Roman"/>
                <w:b/>
                <w:bCs/>
                <w:color w:val="000000"/>
              </w:rPr>
            </w:pPr>
            <w:r>
              <w:rPr>
                <w:rFonts w:hint="eastAsia" w:ascii="Times New Roman" w:hAnsi="Times New Roman" w:eastAsia="宋体" w:cs="Times New Roman"/>
                <w:b/>
                <w:bCs/>
                <w:color w:val="000000"/>
              </w:rPr>
              <w:t>6个月</w:t>
            </w:r>
          </w:p>
        </w:tc>
        <w:tc>
          <w:tcPr>
            <w:tcW w:w="446" w:type="pct"/>
            <w:vAlign w:val="center"/>
          </w:tcPr>
          <w:p>
            <w:pPr>
              <w:widowControl/>
              <w:jc w:val="center"/>
              <w:textAlignment w:val="center"/>
              <w:rPr>
                <w:rFonts w:ascii="Times New Roman" w:hAnsi="Times New Roman" w:eastAsia="宋体" w:cs="Times New Roman"/>
                <w:b/>
                <w:bCs/>
                <w:color w:val="000000"/>
              </w:rPr>
            </w:pPr>
            <w:r>
              <w:rPr>
                <w:rFonts w:hint="eastAsia" w:ascii="Times New Roman" w:hAnsi="Times New Roman" w:eastAsia="宋体" w:cs="Times New Roman"/>
                <w:b/>
                <w:bCs/>
                <w:color w:val="000000"/>
              </w:rPr>
              <w:t>9个月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restart"/>
            <w:vAlign w:val="center"/>
          </w:tcPr>
          <w:p>
            <w:pPr>
              <w:jc w:val="center"/>
              <w:rPr>
                <w:szCs w:val="21"/>
              </w:rPr>
            </w:pPr>
            <w:r>
              <w:rPr>
                <w:rFonts w:hint="eastAsia"/>
                <w:szCs w:val="21"/>
              </w:rPr>
              <w:t>磺胺类</w:t>
            </w: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磺胺嘧啶</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99.30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101.20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98.21</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95.10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磺胺二甲基嘧啶</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100.10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99.60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99.50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96.20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83.26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磺胺氯哒嗪</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98.30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99.60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92.60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磺胺甲噁唑</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99.80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95.20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磺胺甲氧嗪</w:t>
            </w:r>
          </w:p>
        </w:tc>
        <w:tc>
          <w:tcPr>
            <w:tcW w:w="1170" w:type="dxa"/>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 w:val="22"/>
                <w:szCs w:val="22"/>
                <w:lang w:bidi="ar"/>
              </w:rPr>
              <w:t>98.90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99.40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98.10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97.26</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94.21</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84.87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磺胺对甲氧嘧啶</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100.20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101.10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97.12</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93.26</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82.80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磺胺间甲氧嘧啶</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98.60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101.60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95.20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磺胺噻唑</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101.90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99.50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97.56</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95.23</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93.10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84.65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磺胺间二甲氧嘧啶</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100.70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99.40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98.30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95.10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磺胺甲噻二唑</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98.50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96.24</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96.90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92.40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磺胺苯吡唑</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101.60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99.80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98.40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97.20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83.25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磺胺脒</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99.23</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99.50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95.16</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83.71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磺胺醋酰钠</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101.30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98.21</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95.31</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96.50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84.47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磺胺邻二甲氧嘧啶</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102.90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99.00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98.20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94.60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磺胺喹噁啉</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99.90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100.30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99.54</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98.62</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96.22</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94.10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82.44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restart"/>
            <w:vAlign w:val="center"/>
          </w:tcPr>
          <w:p>
            <w:pPr>
              <w:jc w:val="center"/>
              <w:rPr>
                <w:szCs w:val="21"/>
              </w:rPr>
            </w:pPr>
            <w:r>
              <w:rPr>
                <w:rFonts w:hint="eastAsia"/>
                <w:szCs w:val="21"/>
              </w:rPr>
              <w:t>喹诺酮类</w:t>
            </w: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诺氟沙星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99.50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93.60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75.64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氟罗沙星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100.30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92.10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77.13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司帕沙星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103.20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93.20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75.49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奥比沙星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98.70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91.56</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82.59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恩诺沙星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98.60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92.43</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达氟沙星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100.60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97.30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96.20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91.10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75.37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培氟沙星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101.50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99.10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98.02</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93.60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91.50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79.26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rFonts w:ascii="Times New Roman" w:hAnsi="Times New Roman" w:eastAsia="宋体" w:cs="Times New Roman"/>
              </w:rPr>
            </w:pPr>
            <w:r>
              <w:rPr>
                <w:rFonts w:ascii="Times New Roman" w:hAnsi="Times New Roman" w:eastAsia="宋体" w:cs="Times New Roman"/>
              </w:rPr>
              <w:t>二氟沙星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99.64</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97.40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95.20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91.10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78.09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szCs w:val="21"/>
              </w:rPr>
            </w:pPr>
            <w:r>
              <w:rPr>
                <w:rFonts w:hAnsi="宋体"/>
                <w:szCs w:val="21"/>
              </w:rPr>
              <w:t>环丙沙星</w:t>
            </w:r>
          </w:p>
        </w:tc>
        <w:tc>
          <w:tcPr>
            <w:tcW w:w="1170" w:type="dxa"/>
            <w:vAlign w:val="center"/>
          </w:tcPr>
          <w:p>
            <w:pPr>
              <w:widowControl/>
              <w:jc w:val="center"/>
              <w:textAlignment w:val="center"/>
              <w:rPr>
                <w:rFonts w:ascii="Times New Roman" w:hAnsi="Times New Roman" w:eastAsia="宋体" w:cs="Times New Roman"/>
                <w:b/>
                <w:bCs/>
                <w:color w:val="000000"/>
                <w:szCs w:val="21"/>
              </w:rPr>
            </w:pPr>
            <w:r>
              <w:rPr>
                <w:rFonts w:ascii="Times New Roman" w:hAnsi="Times New Roman" w:eastAsia="宋体" w:cs="Times New Roman"/>
                <w:color w:val="000000"/>
                <w:kern w:val="0"/>
                <w:sz w:val="22"/>
                <w:szCs w:val="22"/>
                <w:lang w:bidi="ar"/>
              </w:rPr>
              <w:t>99.20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97.30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94.20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93.10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90.50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84.97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szCs w:val="21"/>
              </w:rPr>
            </w:pPr>
            <w:r>
              <w:rPr>
                <w:rFonts w:hAnsi="宋体"/>
                <w:szCs w:val="21"/>
              </w:rPr>
              <w:t>沙拉沙星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103.50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98.26</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97.30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91.20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szCs w:val="21"/>
              </w:rPr>
            </w:pPr>
            <w:r>
              <w:rPr>
                <w:rFonts w:hAnsi="宋体"/>
                <w:szCs w:val="21"/>
              </w:rPr>
              <w:t>洛美沙星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101.26</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100.60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91.60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83.54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szCs w:val="21"/>
              </w:rPr>
            </w:pPr>
            <w:r>
              <w:rPr>
                <w:rFonts w:hAnsi="宋体"/>
                <w:szCs w:val="21"/>
              </w:rPr>
              <w:t>氧氟沙星</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99.82</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96.50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93.80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92.10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81.81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szCs w:val="21"/>
              </w:rPr>
            </w:pPr>
            <w:r>
              <w:rPr>
                <w:rFonts w:hAnsi="宋体"/>
                <w:szCs w:val="21"/>
              </w:rPr>
              <w:t>氟甲喹</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99.46</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98.20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95.20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94.30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93.20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91.80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82.50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szCs w:val="21"/>
              </w:rPr>
            </w:pPr>
            <w:r>
              <w:rPr>
                <w:color w:val="000000"/>
                <w:sz w:val="24"/>
              </w:rPr>
              <w:t>恶喹酸</w:t>
            </w:r>
          </w:p>
        </w:tc>
        <w:tc>
          <w:tcPr>
            <w:tcW w:w="1170" w:type="dxa"/>
            <w:vAlign w:val="center"/>
          </w:tcPr>
          <w:p>
            <w:pPr>
              <w:widowControl/>
              <w:jc w:val="center"/>
              <w:textAlignment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 w:val="22"/>
                <w:szCs w:val="22"/>
                <w:lang w:bidi="ar"/>
              </w:rPr>
              <w:t>98.62</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97.40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96.20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95.20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92.40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77.94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669" w:type="pct"/>
            <w:vMerge w:val="restart"/>
            <w:vAlign w:val="center"/>
          </w:tcPr>
          <w:p>
            <w:pPr>
              <w:jc w:val="center"/>
              <w:rPr>
                <w:szCs w:val="21"/>
              </w:rPr>
            </w:pPr>
            <w:r>
              <w:rPr>
                <w:rFonts w:hint="eastAsia"/>
                <w:szCs w:val="21"/>
              </w:rPr>
              <w:t>四环素类</w:t>
            </w:r>
          </w:p>
        </w:tc>
        <w:tc>
          <w:tcPr>
            <w:tcW w:w="1205" w:type="pct"/>
            <w:vAlign w:val="center"/>
          </w:tcPr>
          <w:p>
            <w:pPr>
              <w:jc w:val="center"/>
              <w:rPr>
                <w:szCs w:val="21"/>
              </w:rPr>
            </w:pPr>
            <w:r>
              <w:rPr>
                <w:rFonts w:hAnsi="宋体"/>
                <w:szCs w:val="21"/>
              </w:rPr>
              <w:t>四环素</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99.90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92.30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81.20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75.20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65.60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40.30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16.3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szCs w:val="21"/>
              </w:rPr>
            </w:pPr>
            <w:r>
              <w:rPr>
                <w:rFonts w:hAnsi="宋体"/>
                <w:szCs w:val="21"/>
              </w:rPr>
              <w:t>土霉素</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99.60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91.10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80.26</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76.20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62.30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42.60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15.26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669" w:type="pct"/>
            <w:vMerge w:val="continue"/>
            <w:vAlign w:val="center"/>
          </w:tcPr>
          <w:p>
            <w:pPr>
              <w:jc w:val="center"/>
              <w:rPr>
                <w:szCs w:val="21"/>
              </w:rPr>
            </w:pPr>
          </w:p>
        </w:tc>
        <w:tc>
          <w:tcPr>
            <w:tcW w:w="1205" w:type="pct"/>
            <w:vAlign w:val="center"/>
          </w:tcPr>
          <w:p>
            <w:pPr>
              <w:jc w:val="center"/>
              <w:rPr>
                <w:szCs w:val="21"/>
              </w:rPr>
            </w:pPr>
            <w:r>
              <w:rPr>
                <w:rFonts w:hAnsi="宋体"/>
                <w:szCs w:val="21"/>
              </w:rPr>
              <w:t>金霉素</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99.84</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90.20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79.60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70.30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59.20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39.50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15.51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9" w:type="pct"/>
            <w:vMerge w:val="continue"/>
            <w:vAlign w:val="center"/>
          </w:tcPr>
          <w:p>
            <w:pPr>
              <w:jc w:val="center"/>
              <w:rPr>
                <w:szCs w:val="21"/>
              </w:rPr>
            </w:pPr>
          </w:p>
        </w:tc>
        <w:tc>
          <w:tcPr>
            <w:tcW w:w="1205" w:type="pct"/>
            <w:vAlign w:val="center"/>
          </w:tcPr>
          <w:p>
            <w:pPr>
              <w:jc w:val="center"/>
              <w:rPr>
                <w:szCs w:val="21"/>
              </w:rPr>
            </w:pPr>
            <w:r>
              <w:rPr>
                <w:rFonts w:hAnsi="宋体"/>
                <w:szCs w:val="21"/>
              </w:rPr>
              <w:t>多西环素</w:t>
            </w:r>
          </w:p>
        </w:tc>
        <w:tc>
          <w:tcPr>
            <w:tcW w:w="1170" w:type="dxa"/>
            <w:vAlign w:val="center"/>
          </w:tcPr>
          <w:p>
            <w:pPr>
              <w:widowControl/>
              <w:jc w:val="center"/>
              <w:textAlignment w:val="center"/>
              <w:rPr>
                <w:rFonts w:ascii="Times New Roman" w:hAnsi="Times New Roman" w:eastAsia="宋体" w:cs="Times New Roman"/>
                <w:szCs w:val="21"/>
              </w:rPr>
            </w:pPr>
            <w:r>
              <w:rPr>
                <w:rFonts w:ascii="Times New Roman" w:hAnsi="Times New Roman" w:eastAsia="宋体" w:cs="Times New Roman"/>
                <w:color w:val="000000"/>
                <w:kern w:val="0"/>
                <w:sz w:val="22"/>
                <w:szCs w:val="22"/>
                <w:lang w:bidi="ar"/>
              </w:rPr>
              <w:t>98.80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93.00</w:t>
            </w:r>
          </w:p>
        </w:tc>
        <w:tc>
          <w:tcPr>
            <w:tcW w:w="1170" w:type="dxa"/>
            <w:vAlign w:val="center"/>
          </w:tcPr>
          <w:p>
            <w:pPr>
              <w:widowControl/>
              <w:jc w:val="center"/>
              <w:textAlignment w:val="center"/>
              <w:rPr>
                <w:rFonts w:ascii="Times New Roman" w:hAnsi="Times New Roman" w:cs="Times New Roman"/>
                <w:szCs w:val="21"/>
              </w:rPr>
            </w:pPr>
            <w:r>
              <w:rPr>
                <w:rFonts w:ascii="Times New Roman" w:hAnsi="Times New Roman" w:eastAsia="宋体" w:cs="Times New Roman"/>
                <w:color w:val="000000"/>
                <w:kern w:val="0"/>
                <w:sz w:val="22"/>
                <w:szCs w:val="22"/>
                <w:lang w:bidi="ar"/>
              </w:rPr>
              <w:t>78.40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69.50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61.60</w:t>
            </w:r>
          </w:p>
        </w:tc>
        <w:tc>
          <w:tcPr>
            <w:tcW w:w="1170" w:type="dxa"/>
            <w:vAlign w:val="center"/>
          </w:tcPr>
          <w:p>
            <w:pPr>
              <w:widowControl/>
              <w:jc w:val="center"/>
              <w:textAlignment w:val="center"/>
              <w:rPr>
                <w:rFonts w:ascii="Times New Roman" w:hAnsi="Times New Roman" w:cs="Times New Roman"/>
                <w:color w:val="000000"/>
                <w:kern w:val="0"/>
                <w:szCs w:val="21"/>
              </w:rPr>
            </w:pPr>
            <w:r>
              <w:rPr>
                <w:rFonts w:ascii="Times New Roman" w:hAnsi="Times New Roman" w:eastAsia="宋体" w:cs="Times New Roman"/>
                <w:color w:val="000000"/>
                <w:kern w:val="0"/>
                <w:sz w:val="22"/>
                <w:szCs w:val="22"/>
                <w:lang w:bidi="ar"/>
              </w:rPr>
              <w:t>44.70</w:t>
            </w:r>
          </w:p>
        </w:tc>
        <w:tc>
          <w:tcPr>
            <w:tcW w:w="1178" w:type="dxa"/>
            <w:vAlign w:val="center"/>
          </w:tcPr>
          <w:p>
            <w:pPr>
              <w:widowControl/>
              <w:jc w:val="center"/>
              <w:textAlignment w:val="bottom"/>
              <w:rPr>
                <w:rFonts w:ascii="Times New Roman" w:hAnsi="Times New Roman" w:cs="Times New Roman"/>
                <w:color w:val="000000"/>
                <w:kern w:val="0"/>
                <w:szCs w:val="21"/>
              </w:rPr>
            </w:pPr>
            <w:r>
              <w:rPr>
                <w:rFonts w:ascii="Times New Roman" w:hAnsi="Times New Roman" w:eastAsia="等线" w:cs="Times New Roman"/>
                <w:color w:val="000000"/>
                <w:kern w:val="0"/>
                <w:sz w:val="22"/>
                <w:szCs w:val="22"/>
                <w:lang w:bidi="ar"/>
              </w:rPr>
              <w:t>17.4</w:t>
            </w:r>
          </w:p>
        </w:tc>
      </w:tr>
    </w:tbl>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pPr>
    </w:p>
    <w:p>
      <w:pPr>
        <w:jc w:val="center"/>
        <w:rPr>
          <w:rFonts w:ascii="Times New Roman" w:hAnsi="Times New Roman" w:eastAsia="宋体" w:cs="Times New Roman"/>
          <w:b/>
        </w:rPr>
        <w:sectPr>
          <w:pgSz w:w="16838" w:h="11906" w:orient="landscape"/>
          <w:pgMar w:top="1803" w:right="1440" w:bottom="1803" w:left="1440" w:header="851" w:footer="992" w:gutter="0"/>
          <w:cols w:space="0" w:num="1"/>
          <w:docGrid w:type="lines" w:linePitch="319" w:charSpace="0"/>
        </w:sectPr>
      </w:pPr>
    </w:p>
    <w:p>
      <w:pPr>
        <w:jc w:val="center"/>
        <w:rPr>
          <w:rFonts w:ascii="Times New Roman" w:hAnsi="Times New Roman" w:eastAsia="宋体" w:cs="Times New Roman"/>
          <w:b/>
        </w:rPr>
      </w:pPr>
    </w:p>
    <w:p>
      <w:pPr>
        <w:jc w:val="center"/>
        <w:rPr>
          <w:rFonts w:ascii="Times New Roman" w:hAnsi="Times New Roman" w:eastAsia="宋体" w:cs="Times New Roman"/>
          <w:b/>
        </w:rPr>
      </w:pPr>
      <w:r>
        <w:rPr>
          <w:rFonts w:hint="eastAsia" w:ascii="Times New Roman" w:hAnsi="Times New Roman" w:eastAsia="宋体" w:cs="Times New Roman"/>
          <w:b/>
        </w:rPr>
        <w:t>附录D</w:t>
      </w:r>
      <w:r>
        <w:rPr>
          <w:rFonts w:ascii="Times New Roman" w:hAnsi="Times New Roman" w:eastAsia="宋体" w:cs="Times New Roman"/>
          <w:b/>
        </w:rPr>
        <w:t xml:space="preserve"> </w:t>
      </w:r>
      <w:r>
        <w:rPr>
          <w:rFonts w:hint="eastAsia" w:ascii="Times New Roman" w:hAnsi="Times New Roman" w:eastAsia="宋体" w:cs="Times New Roman"/>
          <w:b/>
        </w:rPr>
        <w:t>定量离子色谱图</w:t>
      </w:r>
    </w:p>
    <w:p>
      <w:pPr>
        <w:tabs>
          <w:tab w:val="left" w:pos="5120"/>
        </w:tabs>
        <w:jc w:val="center"/>
        <w:rPr>
          <w:rFonts w:ascii="Times New Roman" w:hAnsi="Times New Roman" w:eastAsia="宋体" w:cs="Times New Roman"/>
        </w:rPr>
      </w:pPr>
    </w:p>
    <w:p>
      <w:pPr>
        <w:tabs>
          <w:tab w:val="left" w:pos="5120"/>
        </w:tabs>
        <w:jc w:val="center"/>
        <w:rPr>
          <w:rFonts w:ascii="Times New Roman" w:hAnsi="Times New Roman" w:eastAsia="宋体" w:cs="Times New Roman"/>
        </w:rPr>
      </w:pPr>
      <w:r>
        <w:drawing>
          <wp:inline distT="0" distB="0" distL="0" distR="0">
            <wp:extent cx="5003165" cy="244411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003165" cy="2444115"/>
                    </a:xfrm>
                    <a:prstGeom prst="rect">
                      <a:avLst/>
                    </a:prstGeom>
                    <a:noFill/>
                    <a:ln>
                      <a:noFill/>
                    </a:ln>
                  </pic:spPr>
                </pic:pic>
              </a:graphicData>
            </a:graphic>
          </wp:inline>
        </w:drawing>
      </w:r>
    </w:p>
    <w:p>
      <w:pPr>
        <w:rPr>
          <w:rFonts w:ascii="Times New Roman" w:hAnsi="Times New Roman" w:eastAsia="宋体" w:cs="Times New Roman"/>
        </w:rPr>
      </w:pPr>
      <w:r>
        <w:rPr>
          <w:rFonts w:hint="eastAsia" w:ascii="Times New Roman" w:hAnsi="Times New Roman" w:eastAsia="宋体" w:cs="Times New Roman"/>
        </w:rPr>
        <w:t>图D</w:t>
      </w:r>
      <w:r>
        <w:rPr>
          <w:rFonts w:ascii="Times New Roman" w:hAnsi="Times New Roman" w:eastAsia="宋体" w:cs="Times New Roman"/>
        </w:rPr>
        <w:t xml:space="preserve">1 </w:t>
      </w:r>
      <w:r>
        <w:rPr>
          <w:rFonts w:hint="eastAsia" w:ascii="Times New Roman" w:hAnsi="Times New Roman" w:eastAsia="宋体" w:cs="Times New Roman"/>
        </w:rPr>
        <w:t>四环素类、磺胺类和喹诺酮类33种药物混合标准品溶液（50 ng/mL)定量离子色谱图</w:t>
      </w:r>
    </w:p>
    <w:p>
      <w:pPr>
        <w:rPr>
          <w:rFonts w:ascii="Times New Roman" w:hAnsi="Times New Roman" w:eastAsia="宋体" w:cs="Times New Roman"/>
        </w:rPr>
      </w:pPr>
    </w:p>
    <w:p>
      <w:pPr>
        <w:rPr>
          <w:rFonts w:ascii="Times New Roman" w:hAnsi="Times New Roman" w:eastAsia="宋体" w:cs="Times New Roman"/>
        </w:rPr>
      </w:pPr>
      <w:r>
        <w:rPr>
          <w:b/>
        </w:rPr>
        <w:drawing>
          <wp:inline distT="0" distB="0" distL="0" distR="0">
            <wp:extent cx="4955540" cy="25844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955540" cy="2584450"/>
                    </a:xfrm>
                    <a:prstGeom prst="rect">
                      <a:avLst/>
                    </a:prstGeom>
                    <a:noFill/>
                    <a:ln>
                      <a:noFill/>
                    </a:ln>
                  </pic:spPr>
                </pic:pic>
              </a:graphicData>
            </a:graphic>
          </wp:inline>
        </w:drawing>
      </w:r>
    </w:p>
    <w:p>
      <w:pPr>
        <w:jc w:val="center"/>
        <w:rPr>
          <w:rFonts w:ascii="Times New Roman" w:hAnsi="Times New Roman" w:eastAsia="宋体" w:cs="Times New Roman"/>
        </w:rPr>
      </w:pPr>
      <w:r>
        <w:rPr>
          <w:rFonts w:hint="eastAsia" w:ascii="Times New Roman" w:hAnsi="Times New Roman" w:eastAsia="宋体" w:cs="Times New Roman"/>
        </w:rPr>
        <w:t>图D</w:t>
      </w:r>
      <w:r>
        <w:rPr>
          <w:rFonts w:ascii="Times New Roman" w:hAnsi="Times New Roman" w:eastAsia="宋体" w:cs="Times New Roman"/>
        </w:rPr>
        <w:t xml:space="preserve">2 </w:t>
      </w:r>
      <w:r>
        <w:rPr>
          <w:rFonts w:hint="eastAsia" w:ascii="Times New Roman" w:hAnsi="Times New Roman" w:eastAsia="宋体" w:cs="Times New Roman"/>
        </w:rPr>
        <w:t>鸡场污水空白样品定量离子色谱图</w:t>
      </w:r>
    </w:p>
    <w:p>
      <w:pPr>
        <w:rPr>
          <w:rFonts w:ascii="Times New Roman" w:hAnsi="Times New Roman" w:eastAsia="宋体" w:cs="Times New Roman"/>
        </w:rPr>
      </w:pPr>
      <w:r>
        <w:rPr>
          <w:b/>
        </w:rPr>
        <w:drawing>
          <wp:inline distT="0" distB="0" distL="0" distR="0">
            <wp:extent cx="5374640" cy="30022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375086" cy="3002400"/>
                    </a:xfrm>
                    <a:prstGeom prst="rect">
                      <a:avLst/>
                    </a:prstGeom>
                    <a:noFill/>
                    <a:ln>
                      <a:noFill/>
                    </a:ln>
                  </pic:spPr>
                </pic:pic>
              </a:graphicData>
            </a:graphic>
          </wp:inline>
        </w:drawing>
      </w:r>
    </w:p>
    <w:p>
      <w:pPr>
        <w:jc w:val="center"/>
        <w:rPr>
          <w:rFonts w:ascii="Times New Roman" w:hAnsi="Times New Roman" w:eastAsia="宋体" w:cs="Times New Roman"/>
        </w:rPr>
      </w:pPr>
      <w:r>
        <w:rPr>
          <w:rFonts w:hint="eastAsia" w:ascii="Times New Roman" w:hAnsi="Times New Roman" w:eastAsia="宋体" w:cs="Times New Roman"/>
        </w:rPr>
        <w:t>图D3</w:t>
      </w:r>
      <w:r>
        <w:rPr>
          <w:rFonts w:ascii="Times New Roman" w:hAnsi="Times New Roman" w:eastAsia="宋体" w:cs="Times New Roman"/>
        </w:rPr>
        <w:t xml:space="preserve"> </w:t>
      </w:r>
      <w:r>
        <w:rPr>
          <w:rFonts w:hint="eastAsia" w:ascii="Times New Roman" w:hAnsi="Times New Roman" w:eastAsia="宋体" w:cs="Times New Roman"/>
        </w:rPr>
        <w:t>鸡场污水种添加四环素类、磺胺类和喹</w:t>
      </w:r>
      <w:r>
        <w:rPr>
          <w:rFonts w:ascii="Times New Roman" w:hAnsi="Times New Roman" w:cs="Times New Roman"/>
        </w:rPr>
        <w:t>诺酮类</w:t>
      </w:r>
      <w:r>
        <w:rPr>
          <w:rFonts w:hint="eastAsia" w:ascii="Times New Roman" w:hAnsi="Times New Roman" w:eastAsia="宋体" w:cs="Times New Roman"/>
        </w:rPr>
        <w:t>33种</w:t>
      </w:r>
      <w:r>
        <w:rPr>
          <w:rFonts w:ascii="Times New Roman" w:hAnsi="Times New Roman" w:cs="Times New Roman"/>
        </w:rPr>
        <w:t>药物混合标准品溶液（50 μg/kg)定量离子色谱图</w:t>
      </w:r>
    </w:p>
    <w:p>
      <w:pPr>
        <w:rPr>
          <w:rFonts w:ascii="Times New Roman" w:hAnsi="Times New Roman" w:eastAsia="宋体" w:cs="Times New Roman"/>
        </w:rPr>
      </w:pPr>
    </w:p>
    <w:p>
      <w:pPr>
        <w:rPr>
          <w:rFonts w:ascii="Times New Roman" w:hAnsi="Times New Roman" w:eastAsia="宋体" w:cs="Times New Roman"/>
        </w:rPr>
      </w:pPr>
      <w:r>
        <w:drawing>
          <wp:inline distT="0" distB="0" distL="114300" distR="114300">
            <wp:extent cx="5088890" cy="2813050"/>
            <wp:effectExtent l="0" t="0" r="0" b="0"/>
            <wp:docPr id="14" name="Picture 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088890" cy="2813050"/>
                    </a:xfrm>
                    <a:prstGeom prst="rect">
                      <a:avLst/>
                    </a:prstGeom>
                    <a:noFill/>
                  </pic:spPr>
                </pic:pic>
              </a:graphicData>
            </a:graphic>
          </wp:inline>
        </w:drawing>
      </w:r>
    </w:p>
    <w:p>
      <w:pPr>
        <w:rPr>
          <w:rFonts w:ascii="Times New Roman" w:hAnsi="Times New Roman" w:eastAsia="宋体" w:cs="Times New Roman"/>
        </w:rPr>
      </w:pPr>
    </w:p>
    <w:p>
      <w:pPr>
        <w:jc w:val="center"/>
        <w:rPr>
          <w:rFonts w:ascii="Times New Roman" w:hAnsi="Times New Roman" w:eastAsia="宋体" w:cs="Times New Roman"/>
        </w:rPr>
      </w:pPr>
      <w:r>
        <w:rPr>
          <w:rFonts w:hint="eastAsia" w:ascii="Times New Roman" w:hAnsi="Times New Roman" w:eastAsia="宋体" w:cs="Times New Roman"/>
        </w:rPr>
        <w:t>图D4猪场污水空白样品定量离子色谱图</w:t>
      </w:r>
    </w:p>
    <w:p>
      <w:pPr>
        <w:jc w:val="center"/>
        <w:rPr>
          <w:rFonts w:ascii="Times New Roman" w:hAnsi="Times New Roman" w:eastAsia="宋体" w:cs="Times New Roman"/>
        </w:rPr>
      </w:pPr>
      <w:r>
        <w:drawing>
          <wp:inline distT="0" distB="0" distL="114300" distR="114300">
            <wp:extent cx="4657725" cy="2654300"/>
            <wp:effectExtent l="0" t="0" r="0" b="0"/>
            <wp:docPr id="5" name="Picture 4"/>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657725" cy="2654300"/>
                    </a:xfrm>
                    <a:prstGeom prst="rect">
                      <a:avLst/>
                    </a:prstGeom>
                    <a:noFill/>
                  </pic:spPr>
                </pic:pic>
              </a:graphicData>
            </a:graphic>
          </wp:inline>
        </w:drawing>
      </w:r>
    </w:p>
    <w:p>
      <w:pPr>
        <w:jc w:val="center"/>
        <w:rPr>
          <w:rFonts w:ascii="Times New Roman" w:hAnsi="Times New Roman" w:eastAsia="宋体" w:cs="Times New Roman"/>
        </w:rPr>
      </w:pPr>
    </w:p>
    <w:p>
      <w:pPr>
        <w:jc w:val="center"/>
        <w:rPr>
          <w:rFonts w:ascii="Times New Roman" w:hAnsi="Times New Roman" w:cs="Times New Roman"/>
        </w:rPr>
      </w:pPr>
      <w:r>
        <w:rPr>
          <w:rFonts w:hint="eastAsia" w:ascii="Times New Roman" w:hAnsi="Times New Roman" w:eastAsia="宋体" w:cs="Times New Roman"/>
        </w:rPr>
        <w:t>图D5</w:t>
      </w:r>
      <w:r>
        <w:rPr>
          <w:rFonts w:ascii="Times New Roman" w:hAnsi="Times New Roman" w:eastAsia="宋体" w:cs="Times New Roman"/>
        </w:rPr>
        <w:t xml:space="preserve"> </w:t>
      </w:r>
      <w:r>
        <w:rPr>
          <w:rFonts w:hint="eastAsia" w:ascii="Times New Roman" w:hAnsi="Times New Roman" w:eastAsia="宋体" w:cs="Times New Roman"/>
        </w:rPr>
        <w:t>猪场污水种添加四环素类、磺胺类和喹</w:t>
      </w:r>
      <w:r>
        <w:rPr>
          <w:rFonts w:ascii="Times New Roman" w:hAnsi="Times New Roman" w:cs="Times New Roman"/>
        </w:rPr>
        <w:t>诺酮类</w:t>
      </w:r>
      <w:r>
        <w:rPr>
          <w:rFonts w:hint="eastAsia" w:ascii="Times New Roman" w:hAnsi="Times New Roman" w:eastAsia="宋体" w:cs="Times New Roman"/>
        </w:rPr>
        <w:t>33种</w:t>
      </w:r>
      <w:r>
        <w:rPr>
          <w:rFonts w:ascii="Times New Roman" w:hAnsi="Times New Roman" w:cs="Times New Roman"/>
        </w:rPr>
        <w:t>药物混合标准品溶液（50 μg/kg)定量离子色谱图</w:t>
      </w:r>
    </w:p>
    <w:p>
      <w:pPr>
        <w:jc w:val="center"/>
        <w:rPr>
          <w:rFonts w:ascii="Times New Roman" w:hAnsi="Times New Roman" w:cs="Times New Roman"/>
        </w:rPr>
      </w:pPr>
    </w:p>
    <w:p>
      <w:pPr>
        <w:jc w:val="center"/>
        <w:rPr>
          <w:rFonts w:ascii="Times New Roman" w:hAnsi="Times New Roman" w:cs="Times New Roman"/>
        </w:rPr>
      </w:pPr>
    </w:p>
    <w:p>
      <w:pPr>
        <w:rPr>
          <w:rFonts w:ascii="Times New Roman" w:hAnsi="Times New Roman" w:eastAsia="宋体" w:cs="Times New Roman"/>
        </w:rPr>
      </w:pPr>
      <w:r>
        <w:drawing>
          <wp:inline distT="0" distB="0" distL="114300" distR="114300">
            <wp:extent cx="4854575" cy="2527300"/>
            <wp:effectExtent l="0" t="0" r="0" b="0"/>
            <wp:docPr id="13" name="Picture 2"/>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854575" cy="2527300"/>
                    </a:xfrm>
                    <a:prstGeom prst="rect">
                      <a:avLst/>
                    </a:prstGeom>
                    <a:noFill/>
                  </pic:spPr>
                </pic:pic>
              </a:graphicData>
            </a:graphic>
          </wp:inline>
        </w:drawing>
      </w:r>
    </w:p>
    <w:p>
      <w:pPr>
        <w:rPr>
          <w:rFonts w:ascii="Times New Roman" w:hAnsi="Times New Roman" w:eastAsia="宋体" w:cs="Times New Roman"/>
        </w:rPr>
      </w:pPr>
    </w:p>
    <w:p>
      <w:pPr>
        <w:jc w:val="center"/>
        <w:rPr>
          <w:rFonts w:ascii="Times New Roman" w:hAnsi="Times New Roman" w:eastAsia="宋体" w:cs="Times New Roman"/>
        </w:rPr>
      </w:pPr>
      <w:r>
        <w:rPr>
          <w:rFonts w:hint="eastAsia" w:ascii="Times New Roman" w:hAnsi="Times New Roman" w:eastAsia="宋体" w:cs="Times New Roman"/>
        </w:rPr>
        <w:t>图D6牛场污水空白样品定量离子色谱图</w:t>
      </w:r>
    </w:p>
    <w:p>
      <w:pPr>
        <w:jc w:val="center"/>
        <w:rPr>
          <w:rFonts w:ascii="Times New Roman" w:hAnsi="Times New Roman" w:eastAsia="宋体" w:cs="Times New Roman"/>
        </w:rPr>
      </w:pPr>
    </w:p>
    <w:p>
      <w:pPr>
        <w:jc w:val="center"/>
        <w:rPr>
          <w:rFonts w:ascii="Times New Roman" w:hAnsi="Times New Roman" w:eastAsia="宋体" w:cs="Times New Roman"/>
        </w:rPr>
      </w:pPr>
    </w:p>
    <w:p>
      <w:pPr>
        <w:jc w:val="center"/>
        <w:rPr>
          <w:rFonts w:ascii="Times New Roman" w:hAnsi="Times New Roman" w:eastAsia="宋体" w:cs="Times New Roman"/>
        </w:rPr>
      </w:pPr>
      <w:r>
        <w:drawing>
          <wp:inline distT="0" distB="0" distL="114300" distR="114300">
            <wp:extent cx="5107940" cy="2813050"/>
            <wp:effectExtent l="0" t="0" r="0" b="0"/>
            <wp:docPr id="15" name="Picture 3"/>
            <wp:cNvGraphicFramePr/>
            <a:graphic xmlns:a="http://schemas.openxmlformats.org/drawingml/2006/main">
              <a:graphicData uri="http://schemas.openxmlformats.org/drawingml/2006/picture">
                <pic:pic xmlns:pic="http://schemas.openxmlformats.org/drawingml/2006/picture">
                  <pic:nvPicPr>
                    <pic:cNvPr id="15" name="Picture 3"/>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107940" cy="2813050"/>
                    </a:xfrm>
                    <a:prstGeom prst="rect">
                      <a:avLst/>
                    </a:prstGeom>
                    <a:noFill/>
                  </pic:spPr>
                </pic:pic>
              </a:graphicData>
            </a:graphic>
          </wp:inline>
        </w:drawing>
      </w:r>
    </w:p>
    <w:p>
      <w:pPr>
        <w:jc w:val="center"/>
        <w:rPr>
          <w:rFonts w:ascii="Times New Roman" w:hAnsi="Times New Roman" w:eastAsia="宋体" w:cs="Times New Roman"/>
        </w:rPr>
      </w:pPr>
      <w:r>
        <w:rPr>
          <w:rFonts w:hint="eastAsia" w:ascii="Times New Roman" w:hAnsi="Times New Roman" w:eastAsia="宋体" w:cs="Times New Roman"/>
        </w:rPr>
        <w:t>图D7</w:t>
      </w:r>
      <w:r>
        <w:rPr>
          <w:rFonts w:ascii="Times New Roman" w:hAnsi="Times New Roman" w:eastAsia="宋体" w:cs="Times New Roman"/>
        </w:rPr>
        <w:t xml:space="preserve"> </w:t>
      </w:r>
      <w:r>
        <w:rPr>
          <w:rFonts w:hint="eastAsia" w:ascii="Times New Roman" w:hAnsi="Times New Roman" w:eastAsia="宋体" w:cs="Times New Roman"/>
        </w:rPr>
        <w:t>牛场污水种添加四环素类、磺胺类和喹</w:t>
      </w:r>
      <w:r>
        <w:rPr>
          <w:rFonts w:ascii="Times New Roman" w:hAnsi="Times New Roman" w:cs="Times New Roman"/>
        </w:rPr>
        <w:t>诺酮类</w:t>
      </w:r>
      <w:r>
        <w:rPr>
          <w:rFonts w:hint="eastAsia" w:ascii="Times New Roman" w:hAnsi="Times New Roman" w:eastAsia="宋体" w:cs="Times New Roman"/>
        </w:rPr>
        <w:t>33种</w:t>
      </w:r>
      <w:r>
        <w:rPr>
          <w:rFonts w:ascii="Times New Roman" w:hAnsi="Times New Roman" w:cs="Times New Roman"/>
        </w:rPr>
        <w:t>药物混合标准品溶液（50 μg/kg)定量离子色谱图</w:t>
      </w:r>
    </w:p>
    <w:p>
      <w:pPr>
        <w:rPr>
          <w:rFonts w:ascii="Times New Roman" w:hAnsi="Times New Roman" w:eastAsia="宋体" w:cs="Times New Roman"/>
        </w:rPr>
      </w:pPr>
    </w:p>
    <w:p>
      <w:pPr>
        <w:rPr>
          <w:rFonts w:ascii="Times New Roman" w:hAnsi="Times New Roman" w:eastAsia="宋体" w:cs="Times New Roman"/>
        </w:rPr>
      </w:pPr>
      <w:r>
        <w:rPr>
          <w:rFonts w:ascii="Times New Roman" w:hAnsi="Times New Roman" w:eastAsia="宋体" w:cs="Times New Roman"/>
        </w:rPr>
        <w:br w:type="page"/>
      </w:r>
    </w:p>
    <w:p>
      <w:pPr>
        <w:snapToGrid w:val="0"/>
        <w:spacing w:line="360" w:lineRule="auto"/>
        <w:rPr>
          <w:rFonts w:ascii="宋体" w:hAnsi="宋体" w:eastAsia="宋体" w:cs="宋体"/>
          <w:bCs/>
          <w:color w:val="000000"/>
          <w:szCs w:val="21"/>
        </w:rPr>
      </w:pPr>
      <w:r>
        <w:rPr>
          <w:rFonts w:hint="eastAsia" w:ascii="宋体" w:hAnsi="宋体" w:eastAsia="宋体" w:cs="宋体"/>
          <w:bCs/>
          <w:color w:val="000000"/>
          <w:szCs w:val="21"/>
        </w:rPr>
        <w:t>附件：</w:t>
      </w:r>
    </w:p>
    <w:p>
      <w:pPr>
        <w:snapToGrid w:val="0"/>
        <w:spacing w:line="360" w:lineRule="auto"/>
        <w:jc w:val="center"/>
        <w:rPr>
          <w:rFonts w:ascii="Times New Roman" w:hAnsi="Times New Roman" w:eastAsia="黑体"/>
          <w:bCs/>
          <w:color w:val="000000"/>
          <w:sz w:val="32"/>
          <w:szCs w:val="32"/>
        </w:rPr>
      </w:pPr>
      <w:r>
        <w:rPr>
          <w:rFonts w:ascii="Times New Roman" w:hAnsi="Times New Roman" w:eastAsia="黑体"/>
          <w:bCs/>
          <w:color w:val="000000"/>
          <w:sz w:val="28"/>
          <w:szCs w:val="28"/>
        </w:rPr>
        <w:t>预审会议审查意见汇总处理表</w:t>
      </w:r>
    </w:p>
    <w:p>
      <w:pPr>
        <w:snapToGrid w:val="0"/>
        <w:spacing w:line="360" w:lineRule="auto"/>
        <w:jc w:val="left"/>
        <w:rPr>
          <w:rFonts w:ascii="Times New Roman" w:hAnsi="Times New Roman" w:eastAsia="仿宋_GB2312"/>
          <w:color w:val="000000"/>
          <w:sz w:val="24"/>
          <w:szCs w:val="22"/>
        </w:rPr>
      </w:pPr>
      <w:r>
        <w:rPr>
          <w:rFonts w:ascii="Times New Roman" w:hAnsi="Times New Roman" w:eastAsia="仿宋_GB2312"/>
          <w:color w:val="000000"/>
          <w:sz w:val="24"/>
          <w:szCs w:val="22"/>
        </w:rPr>
        <w:t>标准名称：</w:t>
      </w:r>
      <w:r>
        <w:rPr>
          <w:rFonts w:ascii="Times New Roman" w:hAnsi="Times New Roman" w:eastAsia="仿宋_GB2312"/>
          <w:color w:val="000000"/>
          <w:sz w:val="24"/>
          <w:szCs w:val="22"/>
          <w:u w:val="single"/>
        </w:rPr>
        <w:t xml:space="preserve">畜禽养殖污水中四环素类、磺胺类和喹诺酮类药物残留量的测定 液相色谱-串联质谱法 </w:t>
      </w:r>
      <w:r>
        <w:rPr>
          <w:rFonts w:ascii="Times New Roman" w:hAnsi="Times New Roman" w:eastAsia="仿宋_GB2312"/>
          <w:color w:val="000000"/>
          <w:sz w:val="24"/>
          <w:szCs w:val="22"/>
        </w:rPr>
        <w:t xml:space="preserve">    </w:t>
      </w:r>
      <w:r>
        <w:rPr>
          <w:rFonts w:hint="eastAsia" w:ascii="Times New Roman" w:hAnsi="Times New Roman" w:eastAsia="仿宋_GB2312"/>
          <w:color w:val="000000"/>
          <w:sz w:val="24"/>
          <w:szCs w:val="22"/>
        </w:rPr>
        <w:t xml:space="preserve">                             </w:t>
      </w:r>
      <w:r>
        <w:rPr>
          <w:rFonts w:ascii="Times New Roman" w:hAnsi="Times New Roman" w:eastAsia="仿宋_GB2312"/>
          <w:color w:val="000000"/>
          <w:sz w:val="24"/>
          <w:szCs w:val="22"/>
        </w:rPr>
        <w:t xml:space="preserve">    共</w:t>
      </w:r>
      <w:r>
        <w:rPr>
          <w:rFonts w:ascii="Times New Roman" w:hAnsi="Times New Roman" w:eastAsia="仿宋_GB2312"/>
          <w:color w:val="000000"/>
          <w:sz w:val="24"/>
          <w:szCs w:val="22"/>
          <w:u w:val="single"/>
        </w:rPr>
        <w:t xml:space="preserve"> </w:t>
      </w:r>
      <w:r>
        <w:rPr>
          <w:rFonts w:hint="eastAsia" w:ascii="Times New Roman" w:hAnsi="Times New Roman" w:eastAsia="仿宋_GB2312"/>
          <w:color w:val="000000"/>
          <w:sz w:val="24"/>
          <w:szCs w:val="22"/>
          <w:u w:val="single"/>
        </w:rPr>
        <w:t>4</w:t>
      </w:r>
      <w:r>
        <w:rPr>
          <w:rFonts w:ascii="Times New Roman" w:hAnsi="Times New Roman" w:eastAsia="仿宋_GB2312"/>
          <w:color w:val="000000"/>
          <w:sz w:val="24"/>
          <w:szCs w:val="22"/>
          <w:u w:val="single"/>
        </w:rPr>
        <w:t xml:space="preserve"> </w:t>
      </w:r>
      <w:r>
        <w:rPr>
          <w:rFonts w:ascii="Times New Roman" w:hAnsi="Times New Roman" w:eastAsia="仿宋_GB2312"/>
          <w:color w:val="000000"/>
          <w:sz w:val="24"/>
          <w:szCs w:val="22"/>
        </w:rPr>
        <w:t xml:space="preserve"> 页</w:t>
      </w:r>
    </w:p>
    <w:p>
      <w:pPr>
        <w:snapToGrid w:val="0"/>
        <w:spacing w:line="360" w:lineRule="auto"/>
        <w:jc w:val="left"/>
        <w:rPr>
          <w:rFonts w:ascii="Times New Roman" w:hAnsi="Times New Roman" w:eastAsia="仿宋_GB2312"/>
          <w:color w:val="000000"/>
          <w:sz w:val="24"/>
          <w:szCs w:val="22"/>
          <w:u w:val="single"/>
        </w:rPr>
      </w:pPr>
      <w:r>
        <w:rPr>
          <w:rFonts w:ascii="Times New Roman" w:hAnsi="Times New Roman" w:eastAsia="仿宋_GB2312"/>
          <w:color w:val="000000"/>
          <w:sz w:val="24"/>
          <w:szCs w:val="22"/>
        </w:rPr>
        <w:t>标准项目承担单位：</w:t>
      </w:r>
      <w:r>
        <w:rPr>
          <w:rFonts w:ascii="Times New Roman" w:hAnsi="Times New Roman" w:eastAsia="仿宋_GB2312"/>
          <w:color w:val="000000"/>
          <w:sz w:val="24"/>
          <w:szCs w:val="22"/>
          <w:u w:val="single"/>
        </w:rPr>
        <w:t xml:space="preserve"> 中国农业科学院农业质量标准与检测技术研究所 </w:t>
      </w:r>
    </w:p>
    <w:p>
      <w:pPr>
        <w:snapToGrid w:val="0"/>
        <w:spacing w:line="360" w:lineRule="auto"/>
        <w:jc w:val="right"/>
        <w:rPr>
          <w:rFonts w:ascii="Times New Roman" w:hAnsi="Times New Roman" w:eastAsia="仿宋_GB2312"/>
          <w:color w:val="000000"/>
          <w:sz w:val="24"/>
          <w:szCs w:val="22"/>
        </w:rPr>
      </w:pPr>
      <w:r>
        <w:rPr>
          <w:rFonts w:ascii="Times New Roman" w:hAnsi="Times New Roman" w:eastAsia="仿宋_GB2312"/>
          <w:color w:val="000000"/>
          <w:sz w:val="24"/>
          <w:szCs w:val="22"/>
        </w:rPr>
        <w:t xml:space="preserve"> </w:t>
      </w:r>
      <w:r>
        <w:rPr>
          <w:rFonts w:hint="eastAsia" w:ascii="Times New Roman" w:hAnsi="Times New Roman" w:eastAsia="仿宋_GB2312"/>
          <w:color w:val="000000"/>
          <w:sz w:val="24"/>
          <w:szCs w:val="22"/>
        </w:rPr>
        <w:t xml:space="preserve">                 </w:t>
      </w:r>
      <w:r>
        <w:rPr>
          <w:rFonts w:ascii="Times New Roman" w:hAnsi="Times New Roman" w:eastAsia="仿宋_GB2312"/>
          <w:color w:val="000000"/>
          <w:sz w:val="24"/>
          <w:szCs w:val="22"/>
        </w:rPr>
        <w:t xml:space="preserve">  20</w:t>
      </w:r>
      <w:r>
        <w:rPr>
          <w:rFonts w:ascii="Times New Roman" w:hAnsi="Times New Roman" w:eastAsia="仿宋_GB2312"/>
          <w:color w:val="000000"/>
          <w:sz w:val="24"/>
          <w:szCs w:val="16"/>
        </w:rPr>
        <w:t>22</w:t>
      </w:r>
      <w:r>
        <w:rPr>
          <w:rFonts w:ascii="Times New Roman" w:hAnsi="Times New Roman" w:eastAsia="仿宋_GB2312"/>
          <w:color w:val="000000"/>
          <w:sz w:val="24"/>
          <w:szCs w:val="22"/>
        </w:rPr>
        <w:t>年</w:t>
      </w:r>
      <w:r>
        <w:rPr>
          <w:rFonts w:ascii="Times New Roman" w:hAnsi="Times New Roman" w:eastAsia="仿宋_GB2312"/>
          <w:color w:val="000000"/>
          <w:sz w:val="24"/>
          <w:szCs w:val="16"/>
        </w:rPr>
        <w:t>1</w:t>
      </w:r>
      <w:r>
        <w:rPr>
          <w:rFonts w:ascii="Times New Roman" w:hAnsi="Times New Roman" w:eastAsia="仿宋_GB2312"/>
          <w:color w:val="000000"/>
          <w:sz w:val="24"/>
          <w:szCs w:val="22"/>
        </w:rPr>
        <w:t>月</w:t>
      </w:r>
      <w:r>
        <w:rPr>
          <w:rFonts w:ascii="Times New Roman" w:hAnsi="Times New Roman" w:eastAsia="仿宋_GB2312"/>
          <w:color w:val="000000"/>
          <w:sz w:val="24"/>
          <w:szCs w:val="16"/>
        </w:rPr>
        <w:t>6</w:t>
      </w:r>
      <w:r>
        <w:rPr>
          <w:rFonts w:ascii="Times New Roman" w:hAnsi="Times New Roman" w:eastAsia="仿宋_GB2312"/>
          <w:color w:val="000000"/>
          <w:sz w:val="24"/>
          <w:szCs w:val="22"/>
        </w:rPr>
        <w:t>日填写</w:t>
      </w:r>
    </w:p>
    <w:tbl>
      <w:tblPr>
        <w:tblStyle w:val="9"/>
        <w:tblpPr w:leftFromText="180" w:rightFromText="180" w:vertAnchor="text" w:horzAnchor="page" w:tblpX="1477" w:tblpY="368"/>
        <w:tblOverlap w:val="never"/>
        <w:tblW w:w="88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254"/>
        <w:gridCol w:w="3395"/>
        <w:gridCol w:w="1276"/>
        <w:gridCol w:w="1324"/>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704" w:type="dxa"/>
            <w:vAlign w:val="center"/>
          </w:tcPr>
          <w:p>
            <w:pPr>
              <w:snapToGrid w:val="0"/>
              <w:jc w:val="center"/>
              <w:rPr>
                <w:rFonts w:ascii="Times New Roman" w:hAnsi="Times New Roman" w:eastAsia="宋体"/>
                <w:b/>
                <w:color w:val="000000"/>
                <w:szCs w:val="21"/>
              </w:rPr>
            </w:pPr>
            <w:r>
              <w:rPr>
                <w:rFonts w:ascii="Times New Roman" w:hAnsi="Times New Roman" w:eastAsia="宋体"/>
                <w:b/>
                <w:color w:val="000000"/>
                <w:szCs w:val="21"/>
              </w:rPr>
              <w:t>序号</w:t>
            </w:r>
          </w:p>
        </w:tc>
        <w:tc>
          <w:tcPr>
            <w:tcW w:w="1254" w:type="dxa"/>
            <w:vAlign w:val="center"/>
          </w:tcPr>
          <w:p>
            <w:pPr>
              <w:snapToGrid w:val="0"/>
              <w:jc w:val="center"/>
              <w:rPr>
                <w:rFonts w:ascii="Times New Roman" w:hAnsi="Times New Roman" w:eastAsia="宋体"/>
                <w:b/>
                <w:color w:val="000000"/>
                <w:szCs w:val="21"/>
              </w:rPr>
            </w:pPr>
            <w:r>
              <w:rPr>
                <w:rFonts w:ascii="Times New Roman" w:hAnsi="Times New Roman" w:eastAsia="宋体"/>
                <w:b/>
                <w:color w:val="000000"/>
                <w:szCs w:val="21"/>
              </w:rPr>
              <w:t>标准章条编号</w:t>
            </w:r>
          </w:p>
        </w:tc>
        <w:tc>
          <w:tcPr>
            <w:tcW w:w="3395" w:type="dxa"/>
            <w:vAlign w:val="center"/>
          </w:tcPr>
          <w:p>
            <w:pPr>
              <w:snapToGrid w:val="0"/>
              <w:jc w:val="left"/>
              <w:rPr>
                <w:rFonts w:ascii="Times New Roman" w:hAnsi="Times New Roman" w:eastAsia="宋体"/>
                <w:b/>
                <w:color w:val="000000"/>
                <w:szCs w:val="21"/>
              </w:rPr>
            </w:pPr>
            <w:r>
              <w:rPr>
                <w:rFonts w:ascii="Times New Roman" w:hAnsi="Times New Roman" w:eastAsia="宋体"/>
                <w:b/>
                <w:color w:val="000000"/>
                <w:szCs w:val="21"/>
              </w:rPr>
              <w:t>意见内容</w:t>
            </w:r>
          </w:p>
        </w:tc>
        <w:tc>
          <w:tcPr>
            <w:tcW w:w="1276" w:type="dxa"/>
            <w:vAlign w:val="center"/>
          </w:tcPr>
          <w:p>
            <w:pPr>
              <w:snapToGrid w:val="0"/>
              <w:jc w:val="center"/>
              <w:rPr>
                <w:rFonts w:ascii="Times New Roman" w:hAnsi="Times New Roman" w:eastAsia="宋体"/>
                <w:b/>
                <w:color w:val="000000"/>
                <w:szCs w:val="21"/>
              </w:rPr>
            </w:pPr>
            <w:r>
              <w:rPr>
                <w:rFonts w:ascii="Times New Roman" w:hAnsi="Times New Roman" w:eastAsia="宋体"/>
                <w:b/>
                <w:color w:val="000000"/>
                <w:szCs w:val="21"/>
              </w:rPr>
              <w:t>提出单位</w:t>
            </w:r>
          </w:p>
        </w:tc>
        <w:tc>
          <w:tcPr>
            <w:tcW w:w="1324" w:type="dxa"/>
            <w:vAlign w:val="center"/>
          </w:tcPr>
          <w:p>
            <w:pPr>
              <w:snapToGrid w:val="0"/>
              <w:jc w:val="center"/>
              <w:rPr>
                <w:rFonts w:ascii="Times New Roman" w:hAnsi="Times New Roman" w:eastAsia="宋体"/>
                <w:b/>
                <w:color w:val="000000"/>
                <w:szCs w:val="21"/>
              </w:rPr>
            </w:pPr>
            <w:r>
              <w:rPr>
                <w:rFonts w:ascii="Times New Roman" w:hAnsi="Times New Roman" w:eastAsia="宋体"/>
                <w:b/>
                <w:color w:val="000000"/>
                <w:szCs w:val="21"/>
              </w:rPr>
              <w:t>处理意见</w:t>
            </w:r>
          </w:p>
        </w:tc>
        <w:tc>
          <w:tcPr>
            <w:tcW w:w="850" w:type="dxa"/>
            <w:vAlign w:val="center"/>
          </w:tcPr>
          <w:p>
            <w:pPr>
              <w:snapToGrid w:val="0"/>
              <w:jc w:val="center"/>
              <w:rPr>
                <w:rFonts w:ascii="Times New Roman" w:hAnsi="Times New Roman" w:eastAsia="宋体"/>
                <w:b/>
                <w:color w:val="000000"/>
                <w:szCs w:val="21"/>
              </w:rPr>
            </w:pPr>
            <w:r>
              <w:rPr>
                <w:rFonts w:ascii="Times New Roman" w:hAnsi="Times New Roman" w:eastAsia="宋体"/>
                <w:b/>
                <w:color w:val="00000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全文</w:t>
            </w:r>
          </w:p>
        </w:tc>
        <w:tc>
          <w:tcPr>
            <w:tcW w:w="3395" w:type="dxa"/>
            <w:vAlign w:val="center"/>
          </w:tcPr>
          <w:p>
            <w:pPr>
              <w:rPr>
                <w:rFonts w:ascii="Times New Roman" w:hAnsi="Times New Roman" w:eastAsia="宋体"/>
                <w:color w:val="000000"/>
                <w:szCs w:val="21"/>
              </w:rPr>
            </w:pPr>
            <w:r>
              <w:rPr>
                <w:rFonts w:ascii="Times New Roman" w:hAnsi="Times New Roman" w:eastAsia="宋体"/>
                <w:color w:val="000000"/>
                <w:szCs w:val="21"/>
              </w:rPr>
              <w:t>规范语言描述</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全文</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药物后加“残留量”</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封面</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查询ICS号和CCS号</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封面</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中文名称修改为”畜禽养殖污水中四环素类、磺胺类和喹诺酮类药物残留量的测定 液相色谱-串联质谱法”</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5</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封面</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英文名称修改为”Determination of tetracyclines, sulfonamides and quinolones residues in  waste water from livestock and poultry farms-liquid chromatography-tandem mass spectrometry”</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6</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前言</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“全国畜牧业标准化委员会”改为”</w:t>
            </w:r>
            <w:r>
              <w:rPr>
                <w:rFonts w:ascii="Times New Roman" w:hAnsi="Times New Roman" w:eastAsia="宋体"/>
                <w:szCs w:val="21"/>
              </w:rPr>
              <w:t>全国畜牧业标准化技术委员会</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7</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1范围</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“规定”改为”描述”</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8</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1范围</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“畜禽养殖场污水中四环素类、磺胺类和喹诺酮类33种药物”改为”畜禽养殖场污水中4种四环素类、15种磺胺类和14种喹诺酮类33种药物(见附录A)残留量”</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9</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1范围</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删除”33种”;药物</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10</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1范围</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核实药物残留量检出限和定量限,将四环素类药物残留量检出限和定量限适当提高</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6"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11</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2规范性引用文件</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删除”GB/T 603化学试剂试验方法中所用制剂及制品的制备”</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9"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12</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2规范性引用文件</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删除GB/T27522-2011年代号</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13</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3术语定义</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“术语定义”改为“术语和定义”</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9"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14</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3术语定义</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参照</w:t>
            </w:r>
            <w:bookmarkStart w:id="10" w:name="_Hlk92404519"/>
            <w:r>
              <w:rPr>
                <w:rFonts w:ascii="Times New Roman" w:hAnsi="Times New Roman" w:eastAsia="宋体"/>
                <w:color w:val="000000"/>
                <w:szCs w:val="21"/>
              </w:rPr>
              <w:t>GB/T 27522重新定义畜禽养殖污水</w:t>
            </w:r>
            <w:bookmarkEnd w:id="10"/>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15</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4原理</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修改描述为”试样中待测物经Na</w:t>
            </w:r>
            <w:r>
              <w:rPr>
                <w:rFonts w:ascii="Times New Roman" w:hAnsi="Times New Roman" w:eastAsia="宋体"/>
                <w:color w:val="000000"/>
                <w:szCs w:val="21"/>
                <w:vertAlign w:val="subscript"/>
              </w:rPr>
              <w:t>2</w:t>
            </w:r>
            <w:r>
              <w:rPr>
                <w:rFonts w:ascii="Times New Roman" w:hAnsi="Times New Roman" w:eastAsia="宋体"/>
                <w:color w:val="000000"/>
                <w:szCs w:val="21"/>
              </w:rPr>
              <w:t>EDTA-McIIvaine缓冲液提取,QuEChERS方法净化，用液相色谱-串联质谱测定，基质匹配标准溶液校准，外标法定量。”</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16</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szCs w:val="21"/>
              </w:rPr>
              <w:t>5试剂和材料</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改为”</w:t>
            </w:r>
            <w:r>
              <w:rPr>
                <w:rFonts w:ascii="Times New Roman" w:hAnsi="Times New Roman" w:eastAsia="宋体"/>
                <w:szCs w:val="21"/>
              </w:rPr>
              <w:t>试剂或材料</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17</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szCs w:val="21"/>
              </w:rPr>
              <w:t>5试剂和材料</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增加5.2甲醇</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18</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5.4</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szCs w:val="21"/>
              </w:rPr>
              <w:t>“EDTA-McIIvaine缓冲液“改为 “Na</w:t>
            </w:r>
            <w:r>
              <w:rPr>
                <w:rFonts w:ascii="Times New Roman" w:hAnsi="Times New Roman" w:eastAsia="宋体"/>
                <w:szCs w:val="21"/>
                <w:vertAlign w:val="subscript"/>
              </w:rPr>
              <w:t>2</w:t>
            </w:r>
            <w:r>
              <w:rPr>
                <w:rFonts w:ascii="Times New Roman" w:hAnsi="Times New Roman" w:eastAsia="宋体"/>
                <w:szCs w:val="21"/>
              </w:rPr>
              <w:t>EDTA-McIIvaine提取缓冲液“,增加”pH调节至4”</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19</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5.5</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szCs w:val="21"/>
              </w:rPr>
              <w:t>“提取液“改为“乙腈-甲醇溶液“</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20</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5.9</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“附表A.1”,改为”附录A表A.1”</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21</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5.10</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“各10mg”改为”适量”</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22</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5.10</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w:t>
            </w:r>
            <w:r>
              <w:rPr>
                <w:rFonts w:ascii="Times New Roman" w:hAnsi="Times New Roman" w:eastAsia="宋体"/>
                <w:szCs w:val="21"/>
              </w:rPr>
              <w:t>甲醇(色谱纯)溶解并稀释</w:t>
            </w:r>
            <w:r>
              <w:rPr>
                <w:rFonts w:ascii="Times New Roman" w:hAnsi="Times New Roman" w:eastAsia="宋体"/>
                <w:color w:val="000000"/>
                <w:szCs w:val="21"/>
              </w:rPr>
              <w:t>”</w:t>
            </w:r>
            <w:r>
              <w:rPr>
                <w:rFonts w:ascii="Times New Roman" w:hAnsi="Times New Roman" w:eastAsia="宋体"/>
                <w:szCs w:val="21"/>
              </w:rPr>
              <w:t>改为</w:t>
            </w:r>
            <w:r>
              <w:rPr>
                <w:rFonts w:ascii="Times New Roman" w:hAnsi="Times New Roman" w:eastAsia="宋体"/>
                <w:color w:val="000000"/>
                <w:szCs w:val="21"/>
              </w:rPr>
              <w:t>“</w:t>
            </w:r>
            <w:r>
              <w:rPr>
                <w:rFonts w:ascii="Times New Roman" w:hAnsi="Times New Roman" w:eastAsia="宋体"/>
                <w:szCs w:val="21"/>
              </w:rPr>
              <w:t>甲醇(5.2)定容</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23</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5.10</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“保存期为6个月，其中四环素类药物效保存期为1个月。”改为”磺胺类和喹诺酮类药物储备溶液有效期为6个月，四环素类药物储备溶液有效期为1个月。”</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24</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5.11</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“置于-20 ℃以下避光保存，保存期为15天”改为”现用现配”</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0"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25</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6仪器设备</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增加6.6</w:t>
            </w:r>
            <w:r>
              <w:rPr>
                <w:rFonts w:ascii="Times New Roman" w:hAnsi="Times New Roman" w:eastAsia="宋体"/>
                <w:szCs w:val="21"/>
              </w:rPr>
              <w:t>超声波清洗器</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26</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6.1</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“液相色谱-串联质谱”改为”</w:t>
            </w:r>
            <w:r>
              <w:rPr>
                <w:rFonts w:ascii="Times New Roman" w:hAnsi="Times New Roman" w:eastAsia="宋体"/>
                <w:szCs w:val="21"/>
              </w:rPr>
              <w:t>液相色谱-串联质谱仪</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27</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6.2</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修改感量</w:t>
            </w:r>
            <w:r>
              <w:rPr>
                <w:rFonts w:ascii="Times New Roman" w:hAnsi="Times New Roman" w:eastAsia="宋体"/>
                <w:szCs w:val="21"/>
              </w:rPr>
              <w:t>0.0001 g</w:t>
            </w:r>
            <w:r>
              <w:rPr>
                <w:rFonts w:ascii="Times New Roman" w:hAnsi="Times New Roman" w:eastAsia="宋体"/>
                <w:color w:val="000000"/>
                <w:szCs w:val="21"/>
              </w:rPr>
              <w:t>为</w:t>
            </w:r>
            <w:r>
              <w:rPr>
                <w:rFonts w:ascii="Times New Roman" w:hAnsi="Times New Roman" w:eastAsia="宋体"/>
                <w:szCs w:val="21"/>
              </w:rPr>
              <w:t>0.00001 g</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28</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6.4</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增加”冷冻”</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29</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7</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删除” 27522-2011 《畜禽养殖污水采样技术规范》”</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30</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7</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增加空白样品采样要求</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31</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8.1</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“2.0”改为”2”</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32</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8.2</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“净化分散剂”改为”</w:t>
            </w:r>
            <w:r>
              <w:rPr>
                <w:rFonts w:ascii="Times New Roman" w:hAnsi="Times New Roman" w:eastAsia="宋体"/>
                <w:szCs w:val="21"/>
              </w:rPr>
              <w:t>净化剂</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33</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8.4.1</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“粒度”改为”</w:t>
            </w:r>
            <w:r>
              <w:rPr>
                <w:rFonts w:ascii="Times New Roman" w:hAnsi="Times New Roman" w:eastAsia="宋体"/>
                <w:szCs w:val="21"/>
              </w:rPr>
              <w:t>粒径</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34</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8.4.2</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szCs w:val="21"/>
              </w:rPr>
              <w:t>“质谱参考条件”改为”串联质谱参考条件”</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35</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8.4.2</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删除”气帘气(CUR):30Psi”</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36</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8.4.2</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“锥孔”改为”</w:t>
            </w:r>
            <w:r>
              <w:rPr>
                <w:rFonts w:ascii="Times New Roman" w:hAnsi="Times New Roman" w:eastAsia="宋体"/>
                <w:szCs w:val="21"/>
              </w:rPr>
              <w:t>去簇</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37</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表2</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格式修改</w:t>
            </w:r>
            <w:r>
              <w:rPr>
                <w:rFonts w:hint="eastAsia" w:ascii="Times New Roman" w:hAnsi="Times New Roman" w:eastAsia="宋体"/>
                <w:color w:val="000000"/>
                <w:szCs w:val="21"/>
              </w:rPr>
              <w:t>，</w:t>
            </w:r>
            <w:r>
              <w:rPr>
                <w:rFonts w:ascii="Times New Roman" w:hAnsi="Times New Roman" w:eastAsia="宋体"/>
                <w:color w:val="000000"/>
                <w:szCs w:val="21"/>
              </w:rPr>
              <w:t>体现出全部表格边框</w:t>
            </w:r>
            <w:r>
              <w:rPr>
                <w:rFonts w:hint="eastAsia" w:ascii="Times New Roman" w:hAnsi="Times New Roman" w:eastAsia="宋体"/>
                <w:color w:val="000000"/>
                <w:szCs w:val="21"/>
              </w:rPr>
              <w:t>，</w:t>
            </w:r>
            <w:r>
              <w:rPr>
                <w:rFonts w:ascii="Times New Roman" w:hAnsi="Times New Roman" w:eastAsia="宋体"/>
                <w:color w:val="000000"/>
                <w:szCs w:val="21"/>
              </w:rPr>
              <w:t>删除单位括号</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38</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8.4.3</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w:t>
            </w:r>
            <w:r>
              <w:rPr>
                <w:rFonts w:ascii="Times New Roman" w:hAnsi="Times New Roman" w:eastAsia="宋体"/>
                <w:szCs w:val="21"/>
              </w:rPr>
              <w:t>附录</w:t>
            </w:r>
            <w:r>
              <w:rPr>
                <w:rFonts w:ascii="Times New Roman" w:hAnsi="Times New Roman" w:eastAsia="宋体"/>
                <w:color w:val="000000"/>
                <w:szCs w:val="21"/>
              </w:rPr>
              <w:t>“</w:t>
            </w:r>
            <w:r>
              <w:rPr>
                <w:rFonts w:ascii="Times New Roman" w:hAnsi="Times New Roman" w:eastAsia="宋体"/>
                <w:szCs w:val="21"/>
              </w:rPr>
              <w:t>改为</w:t>
            </w:r>
            <w:r>
              <w:rPr>
                <w:rFonts w:ascii="Times New Roman" w:hAnsi="Times New Roman" w:eastAsia="宋体"/>
                <w:color w:val="000000"/>
                <w:szCs w:val="21"/>
              </w:rPr>
              <w:t>“</w:t>
            </w:r>
            <w:r>
              <w:rPr>
                <w:rFonts w:ascii="Times New Roman" w:hAnsi="Times New Roman" w:eastAsia="宋体"/>
                <w:szCs w:val="21"/>
              </w:rPr>
              <w:t>附录A</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39</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8.4.5</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“应不低于”改为”</w:t>
            </w:r>
            <w:r>
              <w:rPr>
                <w:rFonts w:ascii="Times New Roman" w:hAnsi="Times New Roman" w:eastAsia="宋体"/>
                <w:szCs w:val="21"/>
              </w:rPr>
              <w:t>不应低于</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40</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9</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w:t>
            </w:r>
            <w:r>
              <w:rPr>
                <w:rFonts w:ascii="Times New Roman" w:hAnsi="Times New Roman" w:eastAsia="宋体"/>
                <w:szCs w:val="21"/>
              </w:rPr>
              <w:t>含量</w:t>
            </w:r>
            <w:r>
              <w:rPr>
                <w:rFonts w:ascii="Times New Roman" w:hAnsi="Times New Roman" w:eastAsia="宋体"/>
                <w:color w:val="000000"/>
                <w:szCs w:val="21"/>
              </w:rPr>
              <w:t>“改为”</w:t>
            </w:r>
            <w:r>
              <w:rPr>
                <w:rFonts w:ascii="Times New Roman" w:hAnsi="Times New Roman" w:eastAsia="宋体"/>
                <w:szCs w:val="21"/>
              </w:rPr>
              <w:t>残留量</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41</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9</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“单位为微克每毫升（</w:t>
            </w:r>
            <w:r>
              <w:rPr>
                <w:rFonts w:ascii="Times New Roman" w:hAnsi="Times New Roman" w:eastAsia="宋体"/>
                <w:szCs w:val="21"/>
              </w:rPr>
              <w:sym w:font="Symbol" w:char="F06D"/>
            </w:r>
            <w:r>
              <w:rPr>
                <w:rFonts w:ascii="Times New Roman" w:hAnsi="Times New Roman" w:eastAsia="宋体"/>
                <w:szCs w:val="21"/>
              </w:rPr>
              <w:t>g</w:t>
            </w:r>
            <w:r>
              <w:rPr>
                <w:rFonts w:ascii="Times New Roman" w:hAnsi="Times New Roman" w:eastAsia="宋体"/>
                <w:color w:val="000000"/>
                <w:szCs w:val="21"/>
              </w:rPr>
              <w:t xml:space="preserve"> /mL）”改为”单位为</w:t>
            </w:r>
            <w:r>
              <w:rPr>
                <w:rFonts w:ascii="Times New Roman" w:hAnsi="Times New Roman" w:eastAsia="宋体"/>
                <w:szCs w:val="21"/>
              </w:rPr>
              <w:t>微克每升（</w:t>
            </w:r>
            <w:r>
              <w:rPr>
                <w:rFonts w:ascii="Times New Roman" w:hAnsi="Times New Roman" w:eastAsia="宋体"/>
                <w:szCs w:val="21"/>
              </w:rPr>
              <w:sym w:font="Symbol" w:char="F06D"/>
            </w:r>
            <w:r>
              <w:rPr>
                <w:rFonts w:ascii="Times New Roman" w:hAnsi="Times New Roman" w:eastAsia="宋体"/>
                <w:szCs w:val="21"/>
              </w:rPr>
              <w:t>g/L）</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42</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9</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公式分母x1000</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7"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43</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9</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“单位为纳克每毫升（</w:t>
            </w:r>
            <w:r>
              <w:rPr>
                <w:rFonts w:ascii="Times New Roman" w:hAnsi="Times New Roman" w:eastAsia="宋体"/>
                <w:szCs w:val="21"/>
              </w:rPr>
              <w:t>ng</w:t>
            </w:r>
            <w:r>
              <w:rPr>
                <w:rFonts w:ascii="Times New Roman" w:hAnsi="Times New Roman" w:eastAsia="宋体"/>
                <w:color w:val="000000"/>
                <w:szCs w:val="21"/>
              </w:rPr>
              <w:t xml:space="preserve"> /mL）”改为”单位为</w:t>
            </w:r>
            <w:r>
              <w:rPr>
                <w:rFonts w:ascii="Times New Roman" w:hAnsi="Times New Roman" w:eastAsia="宋体"/>
                <w:szCs w:val="21"/>
              </w:rPr>
              <w:t>微克每升（</w:t>
            </w:r>
            <w:r>
              <w:rPr>
                <w:rFonts w:ascii="Times New Roman" w:hAnsi="Times New Roman" w:eastAsia="宋体"/>
                <w:szCs w:val="21"/>
              </w:rPr>
              <w:sym w:font="Symbol" w:char="F06D"/>
            </w:r>
            <w:r>
              <w:rPr>
                <w:rFonts w:ascii="Times New Roman" w:hAnsi="Times New Roman" w:eastAsia="宋体"/>
                <w:szCs w:val="21"/>
              </w:rPr>
              <w:t>g/L）</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7"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44</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9</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“以两平行测定”改为”</w:t>
            </w:r>
            <w:r>
              <w:rPr>
                <w:rFonts w:ascii="Times New Roman" w:hAnsi="Times New Roman" w:eastAsia="宋体"/>
                <w:color w:val="000000"/>
                <w:szCs w:val="21"/>
                <w:lang w:bidi="ar"/>
              </w:rPr>
              <w:t>用</w:t>
            </w:r>
            <w:r>
              <w:rPr>
                <w:rFonts w:ascii="Times New Roman" w:hAnsi="Times New Roman" w:eastAsia="宋体"/>
                <w:szCs w:val="21"/>
              </w:rPr>
              <w:t>平行测定</w:t>
            </w:r>
            <w:r>
              <w:rPr>
                <w:rFonts w:ascii="Times New Roman" w:hAnsi="Times New Roman" w:eastAsia="宋体"/>
                <w:color w:val="000000"/>
                <w:szCs w:val="21"/>
              </w:rPr>
              <w:t>”</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45</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附录A</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“资料性”改为”规范性”</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exac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46</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附录A</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增加标题和引导语</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47</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表A.1</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含量为98.5%以上的药物统一改为≥98.5%</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70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48</w:t>
            </w:r>
          </w:p>
        </w:tc>
        <w:tc>
          <w:tcPr>
            <w:tcW w:w="1254" w:type="dxa"/>
            <w:vAlign w:val="center"/>
          </w:tcPr>
          <w:p>
            <w:pPr>
              <w:pStyle w:val="49"/>
              <w:spacing w:before="159" w:after="159"/>
              <w:jc w:val="left"/>
              <w:rPr>
                <w:rFonts w:ascii="Times New Roman" w:eastAsia="宋体"/>
                <w:color w:val="000000"/>
                <w:szCs w:val="21"/>
              </w:rPr>
            </w:pPr>
            <w:r>
              <w:rPr>
                <w:rFonts w:ascii="Times New Roman" w:eastAsia="宋体"/>
                <w:color w:val="000000"/>
                <w:szCs w:val="21"/>
              </w:rPr>
              <w:t>图A.1</w:t>
            </w:r>
          </w:p>
        </w:tc>
        <w:tc>
          <w:tcPr>
            <w:tcW w:w="3395" w:type="dxa"/>
            <w:vAlign w:val="center"/>
          </w:tcPr>
          <w:p>
            <w:pPr>
              <w:jc w:val="left"/>
              <w:rPr>
                <w:rFonts w:ascii="Times New Roman" w:hAnsi="Times New Roman" w:eastAsia="宋体"/>
                <w:color w:val="000000"/>
                <w:szCs w:val="21"/>
              </w:rPr>
            </w:pPr>
            <w:r>
              <w:rPr>
                <w:rFonts w:ascii="Times New Roman" w:hAnsi="Times New Roman" w:eastAsia="宋体"/>
                <w:color w:val="000000"/>
                <w:szCs w:val="21"/>
              </w:rPr>
              <w:t>单独作为附录B</w:t>
            </w:r>
            <w:r>
              <w:rPr>
                <w:rFonts w:hint="eastAsia" w:ascii="Times New Roman" w:hAnsi="Times New Roman" w:eastAsia="宋体"/>
                <w:color w:val="000000"/>
                <w:szCs w:val="21"/>
              </w:rPr>
              <w:t>，</w:t>
            </w:r>
            <w:r>
              <w:rPr>
                <w:rFonts w:ascii="Times New Roman" w:hAnsi="Times New Roman" w:eastAsia="宋体"/>
                <w:color w:val="000000"/>
                <w:szCs w:val="21"/>
              </w:rPr>
              <w:t>并修改格式</w:t>
            </w:r>
          </w:p>
        </w:tc>
        <w:tc>
          <w:tcPr>
            <w:tcW w:w="1276"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专家组</w:t>
            </w:r>
          </w:p>
        </w:tc>
        <w:tc>
          <w:tcPr>
            <w:tcW w:w="1324" w:type="dxa"/>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采纳</w:t>
            </w:r>
          </w:p>
        </w:tc>
        <w:tc>
          <w:tcPr>
            <w:tcW w:w="850" w:type="dxa"/>
            <w:vAlign w:val="center"/>
          </w:tcPr>
          <w:p>
            <w:pPr>
              <w:snapToGrid w:val="0"/>
              <w:jc w:val="center"/>
              <w:rPr>
                <w:rFonts w:ascii="Times New Roman" w:hAnsi="Times New Roman" w:eastAsia="宋体"/>
                <w:color w:val="000000"/>
                <w:szCs w:val="21"/>
              </w:rPr>
            </w:pPr>
          </w:p>
        </w:tc>
      </w:tr>
    </w:tbl>
    <w:p>
      <w:pPr>
        <w:snapToGrid w:val="0"/>
        <w:spacing w:line="360" w:lineRule="auto"/>
        <w:rPr>
          <w:rFonts w:ascii="Times New Roman" w:hAnsi="Times New Roman" w:eastAsia="仿宋_GB2312"/>
          <w:bCs/>
          <w:color w:val="000000"/>
          <w:sz w:val="24"/>
        </w:rPr>
      </w:pPr>
      <w:r>
        <w:rPr>
          <w:rFonts w:ascii="Times New Roman" w:hAnsi="Times New Roman" w:eastAsia="仿宋_GB2312"/>
          <w:bCs/>
          <w:color w:val="000000"/>
          <w:sz w:val="24"/>
        </w:rPr>
        <w:t>注：提出单位为专家组。</w:t>
      </w:r>
    </w:p>
    <w:p>
      <w:pPr>
        <w:rPr>
          <w:rFonts w:ascii="Times New Roman" w:hAnsi="Times New Roman"/>
        </w:rPr>
      </w:pPr>
    </w:p>
    <w:p>
      <w:pPr>
        <w:rPr>
          <w:rFonts w:ascii="Times New Roman" w:hAnsi="Times New Roman" w:eastAsia="宋体" w:cs="Times New Roman"/>
        </w:rPr>
      </w:pPr>
    </w:p>
    <w:sectPr>
      <w:pgSz w:w="11906" w:h="16838"/>
      <w:pgMar w:top="1440" w:right="1803" w:bottom="1440" w:left="1803" w:header="851" w:footer="992" w:gutter="0"/>
      <w:cols w:space="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5"/>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ACB22BB"/>
    <w:multiLevelType w:val="singleLevel"/>
    <w:tmpl w:val="5ACB22BB"/>
    <w:lvl w:ilvl="0" w:tentative="0">
      <w:start w:val="1"/>
      <w:numFmt w:val="decimal"/>
      <w:lvlText w:val="%1."/>
      <w:lvlJc w:val="left"/>
      <w:pPr>
        <w:tabs>
          <w:tab w:val="left" w:pos="312"/>
        </w:tabs>
      </w:pPr>
    </w:lvl>
  </w:abstractNum>
  <w:abstractNum w:abstractNumId="1">
    <w:nsid w:val="646260FA"/>
    <w:multiLevelType w:val="multilevel"/>
    <w:tmpl w:val="646260FA"/>
    <w:lvl w:ilvl="0" w:tentative="0">
      <w:start w:val="1"/>
      <w:numFmt w:val="decimal"/>
      <w:pStyle w:val="38"/>
      <w:suff w:val="nothing"/>
      <w:lvlText w:val="表%1　"/>
      <w:lvlJc w:val="left"/>
      <w:rPr>
        <w:rFonts w:hint="eastAsia" w:ascii="黑体" w:hAnsi="Times New Roman" w:eastAsia="黑体" w:cs="Times New Roman"/>
        <w:b w:val="0"/>
        <w:i w:val="0"/>
        <w:sz w:val="21"/>
      </w:rPr>
    </w:lvl>
    <w:lvl w:ilvl="1" w:tentative="0">
      <w:start w:val="1"/>
      <w:numFmt w:val="decimal"/>
      <w:lvlText w:val="%1.%2"/>
      <w:lvlJc w:val="left"/>
      <w:pPr>
        <w:tabs>
          <w:tab w:val="left" w:pos="992"/>
        </w:tabs>
        <w:ind w:left="992" w:hanging="567"/>
      </w:pPr>
      <w:rPr>
        <w:rFonts w:hint="eastAsia" w:cs="Times New Roman"/>
      </w:rPr>
    </w:lvl>
    <w:lvl w:ilvl="2" w:tentative="0">
      <w:start w:val="1"/>
      <w:numFmt w:val="decimal"/>
      <w:lvlText w:val="%1.%2.%3"/>
      <w:lvlJc w:val="left"/>
      <w:pPr>
        <w:tabs>
          <w:tab w:val="left" w:pos="1418"/>
        </w:tabs>
        <w:ind w:left="1418" w:hanging="567"/>
      </w:pPr>
      <w:rPr>
        <w:rFonts w:hint="eastAsia" w:cs="Times New Roman"/>
      </w:rPr>
    </w:lvl>
    <w:lvl w:ilvl="3" w:tentative="0">
      <w:start w:val="1"/>
      <w:numFmt w:val="decimal"/>
      <w:lvlText w:val="%1.%2.%3.%4"/>
      <w:lvlJc w:val="left"/>
      <w:pPr>
        <w:tabs>
          <w:tab w:val="left" w:pos="1984"/>
        </w:tabs>
        <w:ind w:left="1984" w:hanging="708"/>
      </w:pPr>
      <w:rPr>
        <w:rFonts w:hint="eastAsia" w:cs="Times New Roman"/>
      </w:rPr>
    </w:lvl>
    <w:lvl w:ilvl="4" w:tentative="0">
      <w:start w:val="1"/>
      <w:numFmt w:val="decimal"/>
      <w:lvlText w:val="%1.%2.%3.%4.%5"/>
      <w:lvlJc w:val="left"/>
      <w:pPr>
        <w:tabs>
          <w:tab w:val="left" w:pos="2551"/>
        </w:tabs>
        <w:ind w:left="2551" w:hanging="850"/>
      </w:pPr>
      <w:rPr>
        <w:rFonts w:hint="eastAsia" w:cs="Times New Roman"/>
      </w:rPr>
    </w:lvl>
    <w:lvl w:ilvl="5" w:tentative="0">
      <w:start w:val="1"/>
      <w:numFmt w:val="decimal"/>
      <w:lvlText w:val="%1.%2.%3.%4.%5.%6"/>
      <w:lvlJc w:val="left"/>
      <w:pPr>
        <w:tabs>
          <w:tab w:val="left" w:pos="3260"/>
        </w:tabs>
        <w:ind w:left="3260" w:hanging="1134"/>
      </w:pPr>
      <w:rPr>
        <w:rFonts w:hint="eastAsia" w:cs="Times New Roman"/>
      </w:rPr>
    </w:lvl>
    <w:lvl w:ilvl="6" w:tentative="0">
      <w:start w:val="1"/>
      <w:numFmt w:val="decimal"/>
      <w:lvlText w:val="%1.%2.%3.%4.%5.%6.%7"/>
      <w:lvlJc w:val="left"/>
      <w:pPr>
        <w:tabs>
          <w:tab w:val="left" w:pos="3827"/>
        </w:tabs>
        <w:ind w:left="3827" w:hanging="1276"/>
      </w:pPr>
      <w:rPr>
        <w:rFonts w:hint="eastAsia" w:cs="Times New Roman"/>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2">
    <w:nsid w:val="657D3FBC"/>
    <w:multiLevelType w:val="multilevel"/>
    <w:tmpl w:val="657D3FBC"/>
    <w:lvl w:ilvl="0" w:tentative="0">
      <w:start w:val="1"/>
      <w:numFmt w:val="upperLetter"/>
      <w:pStyle w:val="39"/>
      <w:suff w:val="nothing"/>
      <w:lvlText w:val="附　录　%1"/>
      <w:lvlJc w:val="left"/>
      <w:rPr>
        <w:rFonts w:hint="eastAsia" w:ascii="黑体" w:hAnsi="Times New Roman" w:eastAsia="黑体" w:cs="Times New Roman"/>
        <w:b w:val="0"/>
        <w:i w:val="0"/>
        <w:sz w:val="21"/>
      </w:rPr>
    </w:lvl>
    <w:lvl w:ilvl="1" w:tentative="0">
      <w:start w:val="1"/>
      <w:numFmt w:val="decimal"/>
      <w:pStyle w:val="40"/>
      <w:suff w:val="nothing"/>
      <w:lvlText w:val="%1.%2　"/>
      <w:lvlJc w:val="left"/>
      <w:pPr>
        <w:ind w:left="315"/>
      </w:pPr>
      <w:rPr>
        <w:rFonts w:hint="eastAsia" w:ascii="黑体" w:hAnsi="Times New Roman" w:eastAsia="黑体" w:cs="Times New Roman"/>
        <w:b w:val="0"/>
        <w:i w:val="0"/>
        <w:snapToGrid/>
        <w:spacing w:val="0"/>
        <w:w w:val="100"/>
        <w:kern w:val="21"/>
        <w:sz w:val="21"/>
      </w:rPr>
    </w:lvl>
    <w:lvl w:ilvl="2" w:tentative="0">
      <w:start w:val="1"/>
      <w:numFmt w:val="decimal"/>
      <w:pStyle w:val="41"/>
      <w:suff w:val="nothing"/>
      <w:lvlText w:val="%1.%2.%3　"/>
      <w:lvlJc w:val="left"/>
      <w:rPr>
        <w:rFonts w:hint="eastAsia" w:ascii="黑体" w:hAnsi="Times New Roman" w:eastAsia="黑体" w:cs="Times New Roman"/>
        <w:b w:val="0"/>
        <w:i w:val="0"/>
        <w:sz w:val="21"/>
      </w:rPr>
    </w:lvl>
    <w:lvl w:ilvl="3" w:tentative="0">
      <w:start w:val="1"/>
      <w:numFmt w:val="decimal"/>
      <w:pStyle w:val="42"/>
      <w:suff w:val="nothing"/>
      <w:lvlText w:val="%1.%2.%3.%4　"/>
      <w:lvlJc w:val="left"/>
      <w:rPr>
        <w:rFonts w:hint="eastAsia" w:ascii="黑体" w:hAnsi="Times New Roman" w:eastAsia="黑体" w:cs="Times New Roman"/>
        <w:b w:val="0"/>
        <w:i w:val="0"/>
        <w:sz w:val="21"/>
      </w:rPr>
    </w:lvl>
    <w:lvl w:ilvl="4" w:tentative="0">
      <w:start w:val="1"/>
      <w:numFmt w:val="decimal"/>
      <w:pStyle w:val="43"/>
      <w:suff w:val="nothing"/>
      <w:lvlText w:val="%1.%2.%3.%4.%5　"/>
      <w:lvlJc w:val="left"/>
      <w:rPr>
        <w:rFonts w:hint="eastAsia" w:ascii="黑体" w:hAnsi="Times New Roman" w:eastAsia="黑体" w:cs="Times New Roman"/>
        <w:b w:val="0"/>
        <w:i w:val="0"/>
        <w:sz w:val="21"/>
      </w:rPr>
    </w:lvl>
    <w:lvl w:ilvl="5" w:tentative="0">
      <w:start w:val="1"/>
      <w:numFmt w:val="decimal"/>
      <w:pStyle w:val="44"/>
      <w:suff w:val="nothing"/>
      <w:lvlText w:val="%1.%2.%3.%4.%5.%6　"/>
      <w:lvlJc w:val="left"/>
      <w:rPr>
        <w:rFonts w:hint="eastAsia" w:ascii="黑体" w:hAnsi="Times New Roman" w:eastAsia="黑体" w:cs="Times New Roman"/>
        <w:b w:val="0"/>
        <w:i w:val="0"/>
        <w:sz w:val="21"/>
      </w:rPr>
    </w:lvl>
    <w:lvl w:ilvl="6" w:tentative="0">
      <w:start w:val="1"/>
      <w:numFmt w:val="decimal"/>
      <w:pStyle w:val="45"/>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3">
    <w:nsid w:val="6CEA2025"/>
    <w:multiLevelType w:val="multilevel"/>
    <w:tmpl w:val="6CEA2025"/>
    <w:lvl w:ilvl="0" w:tentative="0">
      <w:start w:val="1"/>
      <w:numFmt w:val="none"/>
      <w:pStyle w:val="48"/>
      <w:suff w:val="nothing"/>
      <w:lvlText w:val="%1"/>
      <w:lvlJc w:val="left"/>
      <w:pPr>
        <w:ind w:left="0" w:firstLine="0"/>
      </w:pPr>
      <w:rPr>
        <w:rFonts w:hint="default" w:ascii="Times New Roman" w:hAnsi="Times New Roman"/>
        <w:b/>
        <w:i w:val="0"/>
        <w:sz w:val="21"/>
      </w:rPr>
    </w:lvl>
    <w:lvl w:ilvl="1" w:tentative="0">
      <w:start w:val="1"/>
      <w:numFmt w:val="decimal"/>
      <w:pStyle w:val="49"/>
      <w:suff w:val="nothing"/>
      <w:lvlText w:val="%1%2　"/>
      <w:lvlJc w:val="left"/>
      <w:pPr>
        <w:ind w:left="0" w:firstLine="0"/>
      </w:pPr>
      <w:rPr>
        <w:rFonts w:hint="eastAsia" w:ascii="黑体" w:hAnsi="Times New Roman" w:eastAsia="黑体"/>
        <w:b w:val="0"/>
        <w:i w:val="0"/>
        <w:sz w:val="21"/>
      </w:r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284"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documentProtection w:enforcement="0"/>
  <w:defaultTabStop w:val="420"/>
  <w:drawingGridHorizontalSpacing w:val="105"/>
  <w:drawingGridVerticalSpacing w:val="159"/>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4ADC"/>
    <w:rsid w:val="00001DEC"/>
    <w:rsid w:val="00003BDA"/>
    <w:rsid w:val="00005B12"/>
    <w:rsid w:val="0000640A"/>
    <w:rsid w:val="00007B9D"/>
    <w:rsid w:val="00012A66"/>
    <w:rsid w:val="000272BC"/>
    <w:rsid w:val="000315CB"/>
    <w:rsid w:val="00034E28"/>
    <w:rsid w:val="00035735"/>
    <w:rsid w:val="00035D10"/>
    <w:rsid w:val="00050799"/>
    <w:rsid w:val="000525A8"/>
    <w:rsid w:val="00090536"/>
    <w:rsid w:val="00091F22"/>
    <w:rsid w:val="00095013"/>
    <w:rsid w:val="000A10BD"/>
    <w:rsid w:val="000B36BD"/>
    <w:rsid w:val="000B5896"/>
    <w:rsid w:val="000C3939"/>
    <w:rsid w:val="000C494F"/>
    <w:rsid w:val="000C6EF9"/>
    <w:rsid w:val="000D319A"/>
    <w:rsid w:val="000F277D"/>
    <w:rsid w:val="000F76E3"/>
    <w:rsid w:val="00104D45"/>
    <w:rsid w:val="00104ED9"/>
    <w:rsid w:val="0012283F"/>
    <w:rsid w:val="001352FC"/>
    <w:rsid w:val="001428B3"/>
    <w:rsid w:val="00157AC9"/>
    <w:rsid w:val="00162C34"/>
    <w:rsid w:val="00172303"/>
    <w:rsid w:val="00181F3F"/>
    <w:rsid w:val="00186987"/>
    <w:rsid w:val="0019764D"/>
    <w:rsid w:val="00222F3D"/>
    <w:rsid w:val="002238B3"/>
    <w:rsid w:val="00224326"/>
    <w:rsid w:val="00246BB2"/>
    <w:rsid w:val="00251BC6"/>
    <w:rsid w:val="00254979"/>
    <w:rsid w:val="00256E5F"/>
    <w:rsid w:val="002626EF"/>
    <w:rsid w:val="00264EAC"/>
    <w:rsid w:val="00265D7E"/>
    <w:rsid w:val="00270DFE"/>
    <w:rsid w:val="00280096"/>
    <w:rsid w:val="00293FC1"/>
    <w:rsid w:val="002945CA"/>
    <w:rsid w:val="00297BA8"/>
    <w:rsid w:val="002D3FA3"/>
    <w:rsid w:val="002E1154"/>
    <w:rsid w:val="002E522F"/>
    <w:rsid w:val="002E62CF"/>
    <w:rsid w:val="002E7F38"/>
    <w:rsid w:val="002F1321"/>
    <w:rsid w:val="002F6EA4"/>
    <w:rsid w:val="002F7D93"/>
    <w:rsid w:val="00306003"/>
    <w:rsid w:val="00315B27"/>
    <w:rsid w:val="00316D2E"/>
    <w:rsid w:val="003215AB"/>
    <w:rsid w:val="00325799"/>
    <w:rsid w:val="003426AE"/>
    <w:rsid w:val="003621B2"/>
    <w:rsid w:val="00372D42"/>
    <w:rsid w:val="00373329"/>
    <w:rsid w:val="00386CCC"/>
    <w:rsid w:val="003957FF"/>
    <w:rsid w:val="003A379E"/>
    <w:rsid w:val="003A6640"/>
    <w:rsid w:val="003B2B1C"/>
    <w:rsid w:val="003B47AF"/>
    <w:rsid w:val="003B48D7"/>
    <w:rsid w:val="003B7BFC"/>
    <w:rsid w:val="003C4401"/>
    <w:rsid w:val="003C4519"/>
    <w:rsid w:val="003E3064"/>
    <w:rsid w:val="003E59C4"/>
    <w:rsid w:val="003E5A59"/>
    <w:rsid w:val="003F0A5A"/>
    <w:rsid w:val="003F3F4E"/>
    <w:rsid w:val="00402FFC"/>
    <w:rsid w:val="004052AF"/>
    <w:rsid w:val="0045694F"/>
    <w:rsid w:val="00457482"/>
    <w:rsid w:val="004638C6"/>
    <w:rsid w:val="00464ADC"/>
    <w:rsid w:val="00467B22"/>
    <w:rsid w:val="004766EA"/>
    <w:rsid w:val="00494912"/>
    <w:rsid w:val="004974B1"/>
    <w:rsid w:val="004D20AD"/>
    <w:rsid w:val="004F4568"/>
    <w:rsid w:val="00504835"/>
    <w:rsid w:val="00527435"/>
    <w:rsid w:val="005467E2"/>
    <w:rsid w:val="00547E02"/>
    <w:rsid w:val="00553E1F"/>
    <w:rsid w:val="00572ACD"/>
    <w:rsid w:val="005778C6"/>
    <w:rsid w:val="0058235D"/>
    <w:rsid w:val="005A2DAC"/>
    <w:rsid w:val="005B6C5C"/>
    <w:rsid w:val="005D2D97"/>
    <w:rsid w:val="005D4833"/>
    <w:rsid w:val="005D555C"/>
    <w:rsid w:val="006037DC"/>
    <w:rsid w:val="00606F57"/>
    <w:rsid w:val="0061768F"/>
    <w:rsid w:val="00626F0D"/>
    <w:rsid w:val="00631FB5"/>
    <w:rsid w:val="00635AA3"/>
    <w:rsid w:val="00636DB8"/>
    <w:rsid w:val="006377F3"/>
    <w:rsid w:val="00640CB2"/>
    <w:rsid w:val="006628DD"/>
    <w:rsid w:val="00665445"/>
    <w:rsid w:val="00666613"/>
    <w:rsid w:val="00667350"/>
    <w:rsid w:val="006764BD"/>
    <w:rsid w:val="006859BF"/>
    <w:rsid w:val="006A5409"/>
    <w:rsid w:val="006C56AA"/>
    <w:rsid w:val="006F76D4"/>
    <w:rsid w:val="00726153"/>
    <w:rsid w:val="007271FA"/>
    <w:rsid w:val="00761327"/>
    <w:rsid w:val="00766683"/>
    <w:rsid w:val="007721DB"/>
    <w:rsid w:val="00773760"/>
    <w:rsid w:val="00781697"/>
    <w:rsid w:val="007A246D"/>
    <w:rsid w:val="007B5A8B"/>
    <w:rsid w:val="007B63D2"/>
    <w:rsid w:val="007B7053"/>
    <w:rsid w:val="007E4E85"/>
    <w:rsid w:val="00800697"/>
    <w:rsid w:val="0080582A"/>
    <w:rsid w:val="00843EA7"/>
    <w:rsid w:val="00846CF5"/>
    <w:rsid w:val="00850120"/>
    <w:rsid w:val="00855FB0"/>
    <w:rsid w:val="008637DC"/>
    <w:rsid w:val="00876E4A"/>
    <w:rsid w:val="00880A5E"/>
    <w:rsid w:val="008901C3"/>
    <w:rsid w:val="00892B8C"/>
    <w:rsid w:val="008930CF"/>
    <w:rsid w:val="008E2CC5"/>
    <w:rsid w:val="008F2181"/>
    <w:rsid w:val="008F2314"/>
    <w:rsid w:val="0090401F"/>
    <w:rsid w:val="009078FF"/>
    <w:rsid w:val="00965831"/>
    <w:rsid w:val="0098099C"/>
    <w:rsid w:val="00986800"/>
    <w:rsid w:val="00991C05"/>
    <w:rsid w:val="00994F6F"/>
    <w:rsid w:val="00996F0C"/>
    <w:rsid w:val="009A5877"/>
    <w:rsid w:val="009E7488"/>
    <w:rsid w:val="009F5A51"/>
    <w:rsid w:val="009F6878"/>
    <w:rsid w:val="00A02514"/>
    <w:rsid w:val="00A204EE"/>
    <w:rsid w:val="00A345AE"/>
    <w:rsid w:val="00A37F4F"/>
    <w:rsid w:val="00A40E16"/>
    <w:rsid w:val="00A53AB1"/>
    <w:rsid w:val="00A65878"/>
    <w:rsid w:val="00A71388"/>
    <w:rsid w:val="00A944FA"/>
    <w:rsid w:val="00A95106"/>
    <w:rsid w:val="00A95C44"/>
    <w:rsid w:val="00AA26B1"/>
    <w:rsid w:val="00AA7E37"/>
    <w:rsid w:val="00AB3BB6"/>
    <w:rsid w:val="00AB4B74"/>
    <w:rsid w:val="00AC74A6"/>
    <w:rsid w:val="00AE1F6F"/>
    <w:rsid w:val="00AE2CD9"/>
    <w:rsid w:val="00B1127D"/>
    <w:rsid w:val="00B14C7D"/>
    <w:rsid w:val="00B17C75"/>
    <w:rsid w:val="00B34E34"/>
    <w:rsid w:val="00B431FA"/>
    <w:rsid w:val="00B506F5"/>
    <w:rsid w:val="00B51B89"/>
    <w:rsid w:val="00B56578"/>
    <w:rsid w:val="00B61DB8"/>
    <w:rsid w:val="00B75543"/>
    <w:rsid w:val="00B8103E"/>
    <w:rsid w:val="00B81730"/>
    <w:rsid w:val="00B96436"/>
    <w:rsid w:val="00BC5C5F"/>
    <w:rsid w:val="00BD022C"/>
    <w:rsid w:val="00BD41CD"/>
    <w:rsid w:val="00C07B3D"/>
    <w:rsid w:val="00C11741"/>
    <w:rsid w:val="00C12718"/>
    <w:rsid w:val="00C2698E"/>
    <w:rsid w:val="00C31EE1"/>
    <w:rsid w:val="00C5133A"/>
    <w:rsid w:val="00C5593F"/>
    <w:rsid w:val="00C701EC"/>
    <w:rsid w:val="00C71724"/>
    <w:rsid w:val="00C92CD6"/>
    <w:rsid w:val="00C953B1"/>
    <w:rsid w:val="00CA2E90"/>
    <w:rsid w:val="00CB6C02"/>
    <w:rsid w:val="00CC0E26"/>
    <w:rsid w:val="00CC2382"/>
    <w:rsid w:val="00CC6BEF"/>
    <w:rsid w:val="00CF1356"/>
    <w:rsid w:val="00CF28F1"/>
    <w:rsid w:val="00CF3145"/>
    <w:rsid w:val="00CF4542"/>
    <w:rsid w:val="00CF5DD2"/>
    <w:rsid w:val="00D04CD2"/>
    <w:rsid w:val="00D17241"/>
    <w:rsid w:val="00D316E6"/>
    <w:rsid w:val="00D3477B"/>
    <w:rsid w:val="00D63039"/>
    <w:rsid w:val="00D72C1F"/>
    <w:rsid w:val="00D93E7A"/>
    <w:rsid w:val="00DA6E84"/>
    <w:rsid w:val="00DA7B55"/>
    <w:rsid w:val="00DB15AA"/>
    <w:rsid w:val="00DC4D78"/>
    <w:rsid w:val="00DD3860"/>
    <w:rsid w:val="00DD4BB7"/>
    <w:rsid w:val="00E16AF3"/>
    <w:rsid w:val="00E32998"/>
    <w:rsid w:val="00E352EE"/>
    <w:rsid w:val="00E354C0"/>
    <w:rsid w:val="00E4248A"/>
    <w:rsid w:val="00E4270E"/>
    <w:rsid w:val="00E42870"/>
    <w:rsid w:val="00E446C5"/>
    <w:rsid w:val="00E512B7"/>
    <w:rsid w:val="00E52B78"/>
    <w:rsid w:val="00E76C47"/>
    <w:rsid w:val="00E86513"/>
    <w:rsid w:val="00E86797"/>
    <w:rsid w:val="00E86B7D"/>
    <w:rsid w:val="00E91A1F"/>
    <w:rsid w:val="00EA3AC9"/>
    <w:rsid w:val="00EB5CEA"/>
    <w:rsid w:val="00EC2107"/>
    <w:rsid w:val="00EC62C6"/>
    <w:rsid w:val="00EC6B5B"/>
    <w:rsid w:val="00ED1D91"/>
    <w:rsid w:val="00EE641B"/>
    <w:rsid w:val="00EE6AAD"/>
    <w:rsid w:val="00EE77A3"/>
    <w:rsid w:val="00EF37C1"/>
    <w:rsid w:val="00EF42C4"/>
    <w:rsid w:val="00F07302"/>
    <w:rsid w:val="00F243F7"/>
    <w:rsid w:val="00F27508"/>
    <w:rsid w:val="00F43878"/>
    <w:rsid w:val="00F5646D"/>
    <w:rsid w:val="00F62BED"/>
    <w:rsid w:val="00F70836"/>
    <w:rsid w:val="00FA747E"/>
    <w:rsid w:val="00FC3696"/>
    <w:rsid w:val="011C4712"/>
    <w:rsid w:val="012F0809"/>
    <w:rsid w:val="015F6056"/>
    <w:rsid w:val="017FF5FA"/>
    <w:rsid w:val="0204510F"/>
    <w:rsid w:val="020F14CB"/>
    <w:rsid w:val="023D0092"/>
    <w:rsid w:val="025F7FA0"/>
    <w:rsid w:val="02771350"/>
    <w:rsid w:val="027D43E1"/>
    <w:rsid w:val="02822E5A"/>
    <w:rsid w:val="02CF0654"/>
    <w:rsid w:val="02D47AEF"/>
    <w:rsid w:val="02EA2D83"/>
    <w:rsid w:val="02F92724"/>
    <w:rsid w:val="03102191"/>
    <w:rsid w:val="03152FCF"/>
    <w:rsid w:val="031C45DE"/>
    <w:rsid w:val="03420EBD"/>
    <w:rsid w:val="03752307"/>
    <w:rsid w:val="03D4515B"/>
    <w:rsid w:val="03D46B04"/>
    <w:rsid w:val="03E50CFB"/>
    <w:rsid w:val="03E911A4"/>
    <w:rsid w:val="03F77403"/>
    <w:rsid w:val="04022F53"/>
    <w:rsid w:val="044C0EAB"/>
    <w:rsid w:val="044D2209"/>
    <w:rsid w:val="045F208A"/>
    <w:rsid w:val="04BD301A"/>
    <w:rsid w:val="04BD397B"/>
    <w:rsid w:val="04D84E34"/>
    <w:rsid w:val="050C5622"/>
    <w:rsid w:val="053A2CC4"/>
    <w:rsid w:val="05863DF1"/>
    <w:rsid w:val="05B33C4A"/>
    <w:rsid w:val="0627390A"/>
    <w:rsid w:val="06812727"/>
    <w:rsid w:val="0692022E"/>
    <w:rsid w:val="06CA6A17"/>
    <w:rsid w:val="06D82E41"/>
    <w:rsid w:val="073C4440"/>
    <w:rsid w:val="07467394"/>
    <w:rsid w:val="07771055"/>
    <w:rsid w:val="07775DDE"/>
    <w:rsid w:val="07D0212C"/>
    <w:rsid w:val="07F32368"/>
    <w:rsid w:val="08554832"/>
    <w:rsid w:val="08574066"/>
    <w:rsid w:val="08731765"/>
    <w:rsid w:val="08784579"/>
    <w:rsid w:val="0889505F"/>
    <w:rsid w:val="08A6029A"/>
    <w:rsid w:val="090452F2"/>
    <w:rsid w:val="09447168"/>
    <w:rsid w:val="09685ACD"/>
    <w:rsid w:val="098603D5"/>
    <w:rsid w:val="098C73AB"/>
    <w:rsid w:val="09F12AA6"/>
    <w:rsid w:val="0A5C58AE"/>
    <w:rsid w:val="0AA25FB6"/>
    <w:rsid w:val="0ADD3317"/>
    <w:rsid w:val="0B162967"/>
    <w:rsid w:val="0B4E2D7B"/>
    <w:rsid w:val="0B5852C1"/>
    <w:rsid w:val="0B6560A8"/>
    <w:rsid w:val="0B6C78CE"/>
    <w:rsid w:val="0B8538A2"/>
    <w:rsid w:val="0BA54136"/>
    <w:rsid w:val="0BB43CD0"/>
    <w:rsid w:val="0BF93093"/>
    <w:rsid w:val="0C497EE4"/>
    <w:rsid w:val="0C5A3B55"/>
    <w:rsid w:val="0CBB4F22"/>
    <w:rsid w:val="0CFA2A3E"/>
    <w:rsid w:val="0D09447B"/>
    <w:rsid w:val="0D120E8E"/>
    <w:rsid w:val="0D1A06BE"/>
    <w:rsid w:val="0D752DA9"/>
    <w:rsid w:val="0DCB289F"/>
    <w:rsid w:val="0E15387E"/>
    <w:rsid w:val="0E454CBD"/>
    <w:rsid w:val="0E482B95"/>
    <w:rsid w:val="0E4A0998"/>
    <w:rsid w:val="0E587D5B"/>
    <w:rsid w:val="0E7250C8"/>
    <w:rsid w:val="0E964696"/>
    <w:rsid w:val="0EBA446B"/>
    <w:rsid w:val="0EBC0974"/>
    <w:rsid w:val="0ED11EF5"/>
    <w:rsid w:val="0ED477BD"/>
    <w:rsid w:val="0ED96943"/>
    <w:rsid w:val="0EF125E6"/>
    <w:rsid w:val="0F091FC6"/>
    <w:rsid w:val="0F185A1F"/>
    <w:rsid w:val="0F437DC9"/>
    <w:rsid w:val="0F557516"/>
    <w:rsid w:val="0F6C2822"/>
    <w:rsid w:val="0F7B639B"/>
    <w:rsid w:val="0FEE7CDC"/>
    <w:rsid w:val="0FF8000C"/>
    <w:rsid w:val="102C1388"/>
    <w:rsid w:val="109629CE"/>
    <w:rsid w:val="10B53F75"/>
    <w:rsid w:val="10C8599F"/>
    <w:rsid w:val="119F18B3"/>
    <w:rsid w:val="119F1B61"/>
    <w:rsid w:val="11C0323A"/>
    <w:rsid w:val="11E8760E"/>
    <w:rsid w:val="125D7161"/>
    <w:rsid w:val="12854FAF"/>
    <w:rsid w:val="12857574"/>
    <w:rsid w:val="12B337D3"/>
    <w:rsid w:val="12B9071B"/>
    <w:rsid w:val="12D50801"/>
    <w:rsid w:val="12EB7528"/>
    <w:rsid w:val="131D1F81"/>
    <w:rsid w:val="13996397"/>
    <w:rsid w:val="13B11667"/>
    <w:rsid w:val="14330740"/>
    <w:rsid w:val="14A30E7C"/>
    <w:rsid w:val="150205D7"/>
    <w:rsid w:val="15217FC4"/>
    <w:rsid w:val="1558525E"/>
    <w:rsid w:val="157D62BE"/>
    <w:rsid w:val="15B26125"/>
    <w:rsid w:val="15DE5B4E"/>
    <w:rsid w:val="15E57E24"/>
    <w:rsid w:val="15ED5227"/>
    <w:rsid w:val="16733FA1"/>
    <w:rsid w:val="16933DF3"/>
    <w:rsid w:val="16DB1255"/>
    <w:rsid w:val="16DC287D"/>
    <w:rsid w:val="16EA24D2"/>
    <w:rsid w:val="16FD0365"/>
    <w:rsid w:val="171F31E6"/>
    <w:rsid w:val="17200499"/>
    <w:rsid w:val="178A7753"/>
    <w:rsid w:val="178F2029"/>
    <w:rsid w:val="179331AE"/>
    <w:rsid w:val="17C07601"/>
    <w:rsid w:val="17DF3093"/>
    <w:rsid w:val="17E1332D"/>
    <w:rsid w:val="18094542"/>
    <w:rsid w:val="18675DF0"/>
    <w:rsid w:val="18E65B02"/>
    <w:rsid w:val="18F626D9"/>
    <w:rsid w:val="19410C4E"/>
    <w:rsid w:val="19734CF0"/>
    <w:rsid w:val="19BA4896"/>
    <w:rsid w:val="19BB031A"/>
    <w:rsid w:val="19CC2978"/>
    <w:rsid w:val="19E7020F"/>
    <w:rsid w:val="19F07CA1"/>
    <w:rsid w:val="1A1A7261"/>
    <w:rsid w:val="1A397AA5"/>
    <w:rsid w:val="1A477195"/>
    <w:rsid w:val="1AC005A2"/>
    <w:rsid w:val="1AC9574E"/>
    <w:rsid w:val="1ACC10BF"/>
    <w:rsid w:val="1B41395F"/>
    <w:rsid w:val="1B46458E"/>
    <w:rsid w:val="1B7857C5"/>
    <w:rsid w:val="1B91757B"/>
    <w:rsid w:val="1BD9392F"/>
    <w:rsid w:val="1BE407FF"/>
    <w:rsid w:val="1C1C1AAC"/>
    <w:rsid w:val="1C316AE3"/>
    <w:rsid w:val="1C3E3ABE"/>
    <w:rsid w:val="1C6C1340"/>
    <w:rsid w:val="1C891372"/>
    <w:rsid w:val="1CAA0219"/>
    <w:rsid w:val="1CB449AF"/>
    <w:rsid w:val="1CFA6175"/>
    <w:rsid w:val="1D236442"/>
    <w:rsid w:val="1D391256"/>
    <w:rsid w:val="1D4212D2"/>
    <w:rsid w:val="1D435C51"/>
    <w:rsid w:val="1DB970B9"/>
    <w:rsid w:val="1DD271C6"/>
    <w:rsid w:val="1E265B37"/>
    <w:rsid w:val="1E3C348D"/>
    <w:rsid w:val="1E7F3E29"/>
    <w:rsid w:val="1F2D5678"/>
    <w:rsid w:val="1F6C3690"/>
    <w:rsid w:val="1FB84CEF"/>
    <w:rsid w:val="1FEF28EB"/>
    <w:rsid w:val="202218D3"/>
    <w:rsid w:val="20252B88"/>
    <w:rsid w:val="202D5276"/>
    <w:rsid w:val="206206AB"/>
    <w:rsid w:val="20925EB1"/>
    <w:rsid w:val="20F455EC"/>
    <w:rsid w:val="210073FA"/>
    <w:rsid w:val="21154C89"/>
    <w:rsid w:val="2170231E"/>
    <w:rsid w:val="21742A59"/>
    <w:rsid w:val="218F3BF5"/>
    <w:rsid w:val="21B32665"/>
    <w:rsid w:val="21C96F06"/>
    <w:rsid w:val="21D03327"/>
    <w:rsid w:val="22275153"/>
    <w:rsid w:val="223130AF"/>
    <w:rsid w:val="22375E6E"/>
    <w:rsid w:val="22833246"/>
    <w:rsid w:val="228B4112"/>
    <w:rsid w:val="22B31214"/>
    <w:rsid w:val="22BC154D"/>
    <w:rsid w:val="22BF6AC5"/>
    <w:rsid w:val="233B78C7"/>
    <w:rsid w:val="23541CE9"/>
    <w:rsid w:val="23714299"/>
    <w:rsid w:val="23874E00"/>
    <w:rsid w:val="23CD5642"/>
    <w:rsid w:val="23D11EBD"/>
    <w:rsid w:val="24116E48"/>
    <w:rsid w:val="24163EBC"/>
    <w:rsid w:val="24304F64"/>
    <w:rsid w:val="24337563"/>
    <w:rsid w:val="24954E70"/>
    <w:rsid w:val="24B41364"/>
    <w:rsid w:val="24BD15E7"/>
    <w:rsid w:val="25085EAF"/>
    <w:rsid w:val="250D5834"/>
    <w:rsid w:val="251A5AB9"/>
    <w:rsid w:val="256F142E"/>
    <w:rsid w:val="259B07C0"/>
    <w:rsid w:val="25B159EE"/>
    <w:rsid w:val="25C227DB"/>
    <w:rsid w:val="25C42D70"/>
    <w:rsid w:val="25D33622"/>
    <w:rsid w:val="25DE6218"/>
    <w:rsid w:val="261E7246"/>
    <w:rsid w:val="264A573C"/>
    <w:rsid w:val="265620BA"/>
    <w:rsid w:val="26580C25"/>
    <w:rsid w:val="267511BC"/>
    <w:rsid w:val="267E79FF"/>
    <w:rsid w:val="26DB7302"/>
    <w:rsid w:val="274F0CC7"/>
    <w:rsid w:val="27610542"/>
    <w:rsid w:val="27756699"/>
    <w:rsid w:val="2796161C"/>
    <w:rsid w:val="27B81F44"/>
    <w:rsid w:val="27C72E46"/>
    <w:rsid w:val="27C850C1"/>
    <w:rsid w:val="2822431C"/>
    <w:rsid w:val="289437E0"/>
    <w:rsid w:val="28945244"/>
    <w:rsid w:val="28CA026F"/>
    <w:rsid w:val="28D31909"/>
    <w:rsid w:val="292B2FE1"/>
    <w:rsid w:val="29533334"/>
    <w:rsid w:val="29595FC6"/>
    <w:rsid w:val="298259D8"/>
    <w:rsid w:val="29934E60"/>
    <w:rsid w:val="29DB0B7E"/>
    <w:rsid w:val="29DC2F04"/>
    <w:rsid w:val="2A390DF8"/>
    <w:rsid w:val="2A3C32CA"/>
    <w:rsid w:val="2A3E2126"/>
    <w:rsid w:val="2A467740"/>
    <w:rsid w:val="2A836023"/>
    <w:rsid w:val="2AB67D75"/>
    <w:rsid w:val="2AB978E6"/>
    <w:rsid w:val="2ABF6577"/>
    <w:rsid w:val="2B2A5BB4"/>
    <w:rsid w:val="2B5771F9"/>
    <w:rsid w:val="2B5D1708"/>
    <w:rsid w:val="2B7C54E6"/>
    <w:rsid w:val="2BAF33F3"/>
    <w:rsid w:val="2BBE018E"/>
    <w:rsid w:val="2C8F5FFA"/>
    <w:rsid w:val="2D037331"/>
    <w:rsid w:val="2D31534D"/>
    <w:rsid w:val="2D641DDE"/>
    <w:rsid w:val="2D9B1FC0"/>
    <w:rsid w:val="2E17171C"/>
    <w:rsid w:val="2E805C0D"/>
    <w:rsid w:val="2EBC59CF"/>
    <w:rsid w:val="2ED048CF"/>
    <w:rsid w:val="2EE22279"/>
    <w:rsid w:val="2F2A3985"/>
    <w:rsid w:val="2F2D6CFF"/>
    <w:rsid w:val="2F427D1A"/>
    <w:rsid w:val="2F674C7A"/>
    <w:rsid w:val="2F676894"/>
    <w:rsid w:val="2F7B144D"/>
    <w:rsid w:val="2FB1467C"/>
    <w:rsid w:val="2FC50B7B"/>
    <w:rsid w:val="2FD92294"/>
    <w:rsid w:val="300E4122"/>
    <w:rsid w:val="30167046"/>
    <w:rsid w:val="305602E1"/>
    <w:rsid w:val="308C5E64"/>
    <w:rsid w:val="30C37F30"/>
    <w:rsid w:val="30E56FFD"/>
    <w:rsid w:val="312234DF"/>
    <w:rsid w:val="312E6646"/>
    <w:rsid w:val="314F04A7"/>
    <w:rsid w:val="317B51DE"/>
    <w:rsid w:val="3188443B"/>
    <w:rsid w:val="319E1105"/>
    <w:rsid w:val="31A16296"/>
    <w:rsid w:val="32334D2C"/>
    <w:rsid w:val="32A53532"/>
    <w:rsid w:val="32C66FFB"/>
    <w:rsid w:val="32F74163"/>
    <w:rsid w:val="338206D4"/>
    <w:rsid w:val="33C45D2D"/>
    <w:rsid w:val="33C50B5F"/>
    <w:rsid w:val="33E10AA6"/>
    <w:rsid w:val="341F0C0A"/>
    <w:rsid w:val="34322518"/>
    <w:rsid w:val="34441315"/>
    <w:rsid w:val="34AF7E73"/>
    <w:rsid w:val="34C856C8"/>
    <w:rsid w:val="34ED5A9C"/>
    <w:rsid w:val="34F43805"/>
    <w:rsid w:val="350752B4"/>
    <w:rsid w:val="352A42E1"/>
    <w:rsid w:val="35486C3A"/>
    <w:rsid w:val="35671A7E"/>
    <w:rsid w:val="35F80316"/>
    <w:rsid w:val="3612224C"/>
    <w:rsid w:val="362611B6"/>
    <w:rsid w:val="3637500E"/>
    <w:rsid w:val="36866D5E"/>
    <w:rsid w:val="369B0FC7"/>
    <w:rsid w:val="369D77EE"/>
    <w:rsid w:val="36A30B45"/>
    <w:rsid w:val="36CB6FBA"/>
    <w:rsid w:val="36CE6B72"/>
    <w:rsid w:val="3704060A"/>
    <w:rsid w:val="371B7E65"/>
    <w:rsid w:val="37385F82"/>
    <w:rsid w:val="375B4A45"/>
    <w:rsid w:val="37A1750D"/>
    <w:rsid w:val="37F21BF2"/>
    <w:rsid w:val="380E4BFD"/>
    <w:rsid w:val="384912CF"/>
    <w:rsid w:val="38D75243"/>
    <w:rsid w:val="38FA3D34"/>
    <w:rsid w:val="392723CF"/>
    <w:rsid w:val="39302BB2"/>
    <w:rsid w:val="3949117A"/>
    <w:rsid w:val="39885DE5"/>
    <w:rsid w:val="39B42372"/>
    <w:rsid w:val="39F60B8E"/>
    <w:rsid w:val="3A63792F"/>
    <w:rsid w:val="3A6B2945"/>
    <w:rsid w:val="3A894CDC"/>
    <w:rsid w:val="3AD549D2"/>
    <w:rsid w:val="3AE26746"/>
    <w:rsid w:val="3B4B1417"/>
    <w:rsid w:val="3BBE7837"/>
    <w:rsid w:val="3BE76617"/>
    <w:rsid w:val="3C246212"/>
    <w:rsid w:val="3C5F1803"/>
    <w:rsid w:val="3CC71E9B"/>
    <w:rsid w:val="3CC851D8"/>
    <w:rsid w:val="3CCC351A"/>
    <w:rsid w:val="3CF219F8"/>
    <w:rsid w:val="3D0819F4"/>
    <w:rsid w:val="3D1944D9"/>
    <w:rsid w:val="3D3C19CB"/>
    <w:rsid w:val="3D8D2F63"/>
    <w:rsid w:val="3DBC4F8C"/>
    <w:rsid w:val="3DEA1503"/>
    <w:rsid w:val="3E237A9B"/>
    <w:rsid w:val="3E542BA0"/>
    <w:rsid w:val="3EA96A2B"/>
    <w:rsid w:val="3EAF5AF3"/>
    <w:rsid w:val="3EB5225E"/>
    <w:rsid w:val="3EC06040"/>
    <w:rsid w:val="3ECD2B2F"/>
    <w:rsid w:val="3EFB2599"/>
    <w:rsid w:val="3F000F9F"/>
    <w:rsid w:val="3F13433A"/>
    <w:rsid w:val="3F230013"/>
    <w:rsid w:val="3F4F77A8"/>
    <w:rsid w:val="3F773C5B"/>
    <w:rsid w:val="3F7A24A6"/>
    <w:rsid w:val="3FD47609"/>
    <w:rsid w:val="3FE761ED"/>
    <w:rsid w:val="3FF7521F"/>
    <w:rsid w:val="40117F21"/>
    <w:rsid w:val="405B37B5"/>
    <w:rsid w:val="407A456B"/>
    <w:rsid w:val="407F5EF9"/>
    <w:rsid w:val="40995BDB"/>
    <w:rsid w:val="40A61C8F"/>
    <w:rsid w:val="40BD1FC1"/>
    <w:rsid w:val="410F5606"/>
    <w:rsid w:val="411E57CE"/>
    <w:rsid w:val="414F3EBA"/>
    <w:rsid w:val="415B006C"/>
    <w:rsid w:val="418263D7"/>
    <w:rsid w:val="418B7B27"/>
    <w:rsid w:val="41AC0E25"/>
    <w:rsid w:val="41C94B01"/>
    <w:rsid w:val="4207262A"/>
    <w:rsid w:val="42393F82"/>
    <w:rsid w:val="42537052"/>
    <w:rsid w:val="42684CCE"/>
    <w:rsid w:val="429632AB"/>
    <w:rsid w:val="42AB182C"/>
    <w:rsid w:val="42D9019D"/>
    <w:rsid w:val="430610BA"/>
    <w:rsid w:val="434C2FC9"/>
    <w:rsid w:val="43575E02"/>
    <w:rsid w:val="436B722A"/>
    <w:rsid w:val="43760863"/>
    <w:rsid w:val="439A643B"/>
    <w:rsid w:val="43CB29E7"/>
    <w:rsid w:val="43D62599"/>
    <w:rsid w:val="43E778CC"/>
    <w:rsid w:val="440F3A01"/>
    <w:rsid w:val="442402C7"/>
    <w:rsid w:val="44B72F6E"/>
    <w:rsid w:val="44C36A38"/>
    <w:rsid w:val="44D922E8"/>
    <w:rsid w:val="452674BE"/>
    <w:rsid w:val="45C03F49"/>
    <w:rsid w:val="463F20F5"/>
    <w:rsid w:val="464D792C"/>
    <w:rsid w:val="46786398"/>
    <w:rsid w:val="46A20A91"/>
    <w:rsid w:val="46EF12B2"/>
    <w:rsid w:val="47172FC3"/>
    <w:rsid w:val="47235992"/>
    <w:rsid w:val="47C14FC5"/>
    <w:rsid w:val="47DF50C2"/>
    <w:rsid w:val="47DF5FD9"/>
    <w:rsid w:val="47E32852"/>
    <w:rsid w:val="47EF0414"/>
    <w:rsid w:val="482F654D"/>
    <w:rsid w:val="486C28AD"/>
    <w:rsid w:val="487E7A82"/>
    <w:rsid w:val="48820CDF"/>
    <w:rsid w:val="488C5005"/>
    <w:rsid w:val="488D1B58"/>
    <w:rsid w:val="48CF2182"/>
    <w:rsid w:val="48DE5090"/>
    <w:rsid w:val="48E61F58"/>
    <w:rsid w:val="4900149E"/>
    <w:rsid w:val="494E5ABF"/>
    <w:rsid w:val="49555258"/>
    <w:rsid w:val="4A8D1F66"/>
    <w:rsid w:val="4AA748F2"/>
    <w:rsid w:val="4ACA67D9"/>
    <w:rsid w:val="4B073638"/>
    <w:rsid w:val="4B310A42"/>
    <w:rsid w:val="4B63755A"/>
    <w:rsid w:val="4B6B750C"/>
    <w:rsid w:val="4B8D1B26"/>
    <w:rsid w:val="4BAD0F0E"/>
    <w:rsid w:val="4BB644A4"/>
    <w:rsid w:val="4BC3724E"/>
    <w:rsid w:val="4C000B0B"/>
    <w:rsid w:val="4C035992"/>
    <w:rsid w:val="4C12403F"/>
    <w:rsid w:val="4C39180B"/>
    <w:rsid w:val="4C6926E8"/>
    <w:rsid w:val="4C9A78A8"/>
    <w:rsid w:val="4C9E632B"/>
    <w:rsid w:val="4CE35F67"/>
    <w:rsid w:val="4CF22DBF"/>
    <w:rsid w:val="4D5D0DEB"/>
    <w:rsid w:val="4D876003"/>
    <w:rsid w:val="4E1018A5"/>
    <w:rsid w:val="4E484C48"/>
    <w:rsid w:val="4E897E06"/>
    <w:rsid w:val="4EA1380A"/>
    <w:rsid w:val="4EC24387"/>
    <w:rsid w:val="4F333020"/>
    <w:rsid w:val="4F4D4553"/>
    <w:rsid w:val="4F5246BF"/>
    <w:rsid w:val="4F9D1FFA"/>
    <w:rsid w:val="4FB0418F"/>
    <w:rsid w:val="4FB4689F"/>
    <w:rsid w:val="4FEC45F3"/>
    <w:rsid w:val="4FFE198B"/>
    <w:rsid w:val="50710B6C"/>
    <w:rsid w:val="507E5316"/>
    <w:rsid w:val="50857766"/>
    <w:rsid w:val="50A9665D"/>
    <w:rsid w:val="50AE71DC"/>
    <w:rsid w:val="50FB1348"/>
    <w:rsid w:val="50FB4955"/>
    <w:rsid w:val="51265D92"/>
    <w:rsid w:val="524D77D8"/>
    <w:rsid w:val="52537E9F"/>
    <w:rsid w:val="52672B9D"/>
    <w:rsid w:val="526E4D19"/>
    <w:rsid w:val="526F700C"/>
    <w:rsid w:val="5283477A"/>
    <w:rsid w:val="52903F0A"/>
    <w:rsid w:val="52BD7470"/>
    <w:rsid w:val="52C12976"/>
    <w:rsid w:val="52DF3313"/>
    <w:rsid w:val="52EC112B"/>
    <w:rsid w:val="534912E0"/>
    <w:rsid w:val="539D4E2F"/>
    <w:rsid w:val="539E0CF8"/>
    <w:rsid w:val="53AB75E5"/>
    <w:rsid w:val="53BE3406"/>
    <w:rsid w:val="53C754EF"/>
    <w:rsid w:val="53DD3F65"/>
    <w:rsid w:val="53F04D2F"/>
    <w:rsid w:val="5439117A"/>
    <w:rsid w:val="546B656F"/>
    <w:rsid w:val="54766147"/>
    <w:rsid w:val="547D49B1"/>
    <w:rsid w:val="54A12E95"/>
    <w:rsid w:val="54E9320E"/>
    <w:rsid w:val="54FE717F"/>
    <w:rsid w:val="5550617E"/>
    <w:rsid w:val="555A72A6"/>
    <w:rsid w:val="55617093"/>
    <w:rsid w:val="5581159A"/>
    <w:rsid w:val="55E363B3"/>
    <w:rsid w:val="56111C1B"/>
    <w:rsid w:val="5651304E"/>
    <w:rsid w:val="569F5912"/>
    <w:rsid w:val="56FF22F1"/>
    <w:rsid w:val="571A228C"/>
    <w:rsid w:val="57A536F4"/>
    <w:rsid w:val="58100EF3"/>
    <w:rsid w:val="58705758"/>
    <w:rsid w:val="589F1B05"/>
    <w:rsid w:val="58FB6132"/>
    <w:rsid w:val="59067EC5"/>
    <w:rsid w:val="591E6EB3"/>
    <w:rsid w:val="592F2A18"/>
    <w:rsid w:val="593706E0"/>
    <w:rsid w:val="59486479"/>
    <w:rsid w:val="59780FA2"/>
    <w:rsid w:val="598B1771"/>
    <w:rsid w:val="598F659B"/>
    <w:rsid w:val="59D2544F"/>
    <w:rsid w:val="5A093831"/>
    <w:rsid w:val="5A3D0671"/>
    <w:rsid w:val="5A786818"/>
    <w:rsid w:val="5A971750"/>
    <w:rsid w:val="5AB7700D"/>
    <w:rsid w:val="5AE84C6A"/>
    <w:rsid w:val="5B1A3ACD"/>
    <w:rsid w:val="5B2A6651"/>
    <w:rsid w:val="5B3C51A5"/>
    <w:rsid w:val="5BF84AB3"/>
    <w:rsid w:val="5C14548C"/>
    <w:rsid w:val="5C3E1A3B"/>
    <w:rsid w:val="5C3E272B"/>
    <w:rsid w:val="5C5A2911"/>
    <w:rsid w:val="5C5B2EBD"/>
    <w:rsid w:val="5C6D7BAD"/>
    <w:rsid w:val="5C7F0817"/>
    <w:rsid w:val="5C91792B"/>
    <w:rsid w:val="5CA7335F"/>
    <w:rsid w:val="5D177C84"/>
    <w:rsid w:val="5D446388"/>
    <w:rsid w:val="5D5167C2"/>
    <w:rsid w:val="5D913E6E"/>
    <w:rsid w:val="5E01264D"/>
    <w:rsid w:val="5E135A48"/>
    <w:rsid w:val="5E6D6FC1"/>
    <w:rsid w:val="5E79739C"/>
    <w:rsid w:val="5EB25B34"/>
    <w:rsid w:val="5EBE25DE"/>
    <w:rsid w:val="5ECE3508"/>
    <w:rsid w:val="5EF43AC5"/>
    <w:rsid w:val="5FB43989"/>
    <w:rsid w:val="5FC5501D"/>
    <w:rsid w:val="5FE454F4"/>
    <w:rsid w:val="5FF43E45"/>
    <w:rsid w:val="60067B8A"/>
    <w:rsid w:val="60183858"/>
    <w:rsid w:val="60E34969"/>
    <w:rsid w:val="6113053C"/>
    <w:rsid w:val="61833A8E"/>
    <w:rsid w:val="61966578"/>
    <w:rsid w:val="61DF41C8"/>
    <w:rsid w:val="61E3576C"/>
    <w:rsid w:val="61F33531"/>
    <w:rsid w:val="61FE424A"/>
    <w:rsid w:val="62577D0A"/>
    <w:rsid w:val="62672A11"/>
    <w:rsid w:val="62856933"/>
    <w:rsid w:val="62CD453C"/>
    <w:rsid w:val="62D85905"/>
    <w:rsid w:val="62F21AC9"/>
    <w:rsid w:val="631C71FF"/>
    <w:rsid w:val="631E0AC2"/>
    <w:rsid w:val="63256B50"/>
    <w:rsid w:val="63441912"/>
    <w:rsid w:val="634A7897"/>
    <w:rsid w:val="635D733F"/>
    <w:rsid w:val="63B34DB9"/>
    <w:rsid w:val="63E56540"/>
    <w:rsid w:val="63E56BA9"/>
    <w:rsid w:val="640325E1"/>
    <w:rsid w:val="644071C6"/>
    <w:rsid w:val="64410852"/>
    <w:rsid w:val="6454563C"/>
    <w:rsid w:val="647611A0"/>
    <w:rsid w:val="64DB380D"/>
    <w:rsid w:val="64E70EDF"/>
    <w:rsid w:val="65036B58"/>
    <w:rsid w:val="650942A4"/>
    <w:rsid w:val="65A64DC7"/>
    <w:rsid w:val="65AB6951"/>
    <w:rsid w:val="65B216CD"/>
    <w:rsid w:val="65B656DA"/>
    <w:rsid w:val="65BB363E"/>
    <w:rsid w:val="65C36C1E"/>
    <w:rsid w:val="65EA735A"/>
    <w:rsid w:val="66227806"/>
    <w:rsid w:val="663931F0"/>
    <w:rsid w:val="66621210"/>
    <w:rsid w:val="6675557D"/>
    <w:rsid w:val="66CC7160"/>
    <w:rsid w:val="66D628CF"/>
    <w:rsid w:val="67034B23"/>
    <w:rsid w:val="670F3E28"/>
    <w:rsid w:val="67480AA9"/>
    <w:rsid w:val="67B047B3"/>
    <w:rsid w:val="67B63CB6"/>
    <w:rsid w:val="67F177B3"/>
    <w:rsid w:val="681D5160"/>
    <w:rsid w:val="68293F96"/>
    <w:rsid w:val="687A31AF"/>
    <w:rsid w:val="68DB7830"/>
    <w:rsid w:val="690B35C6"/>
    <w:rsid w:val="69335BCB"/>
    <w:rsid w:val="6949424D"/>
    <w:rsid w:val="694B2A00"/>
    <w:rsid w:val="695621F9"/>
    <w:rsid w:val="699B3F99"/>
    <w:rsid w:val="69BD4705"/>
    <w:rsid w:val="6A1C2533"/>
    <w:rsid w:val="6A2D14B2"/>
    <w:rsid w:val="6A6443D8"/>
    <w:rsid w:val="6AF93239"/>
    <w:rsid w:val="6B7C7A5A"/>
    <w:rsid w:val="6B8D2A74"/>
    <w:rsid w:val="6B8F5B01"/>
    <w:rsid w:val="6BAA76D2"/>
    <w:rsid w:val="6C1F3878"/>
    <w:rsid w:val="6C2F749A"/>
    <w:rsid w:val="6C804F95"/>
    <w:rsid w:val="6CE17FAE"/>
    <w:rsid w:val="6D005BF2"/>
    <w:rsid w:val="6D193501"/>
    <w:rsid w:val="6D4E6BD6"/>
    <w:rsid w:val="6D537922"/>
    <w:rsid w:val="6DEA7F60"/>
    <w:rsid w:val="6E07096D"/>
    <w:rsid w:val="6EAD3647"/>
    <w:rsid w:val="6EEE1179"/>
    <w:rsid w:val="6EEE2C37"/>
    <w:rsid w:val="6F1D345A"/>
    <w:rsid w:val="6F1F0FDA"/>
    <w:rsid w:val="6F62168C"/>
    <w:rsid w:val="705A3E38"/>
    <w:rsid w:val="705D67B5"/>
    <w:rsid w:val="70656BC6"/>
    <w:rsid w:val="706C2BC0"/>
    <w:rsid w:val="706D7D4E"/>
    <w:rsid w:val="70D925AB"/>
    <w:rsid w:val="70EF7DD4"/>
    <w:rsid w:val="70FC0778"/>
    <w:rsid w:val="710A6DD7"/>
    <w:rsid w:val="714F508E"/>
    <w:rsid w:val="717B1B7C"/>
    <w:rsid w:val="71DB5CB0"/>
    <w:rsid w:val="71F27CBE"/>
    <w:rsid w:val="720C7D7C"/>
    <w:rsid w:val="721A3029"/>
    <w:rsid w:val="727C5E3A"/>
    <w:rsid w:val="72CD55B4"/>
    <w:rsid w:val="72F958BD"/>
    <w:rsid w:val="73022BDE"/>
    <w:rsid w:val="732669B6"/>
    <w:rsid w:val="733D7D4C"/>
    <w:rsid w:val="73567E70"/>
    <w:rsid w:val="73736BB0"/>
    <w:rsid w:val="73963056"/>
    <w:rsid w:val="73D46798"/>
    <w:rsid w:val="73D70781"/>
    <w:rsid w:val="73E61FFE"/>
    <w:rsid w:val="73FA267F"/>
    <w:rsid w:val="740B3DB4"/>
    <w:rsid w:val="741B5221"/>
    <w:rsid w:val="742F6C52"/>
    <w:rsid w:val="74455971"/>
    <w:rsid w:val="74717B42"/>
    <w:rsid w:val="74A82E54"/>
    <w:rsid w:val="74AB5986"/>
    <w:rsid w:val="74B32DED"/>
    <w:rsid w:val="74D107B9"/>
    <w:rsid w:val="74E91096"/>
    <w:rsid w:val="752F54DB"/>
    <w:rsid w:val="758A72F4"/>
    <w:rsid w:val="75987939"/>
    <w:rsid w:val="75C4777C"/>
    <w:rsid w:val="75E679B2"/>
    <w:rsid w:val="76730BB2"/>
    <w:rsid w:val="76803309"/>
    <w:rsid w:val="76A109BC"/>
    <w:rsid w:val="76D84663"/>
    <w:rsid w:val="770608E6"/>
    <w:rsid w:val="77587363"/>
    <w:rsid w:val="77834FD0"/>
    <w:rsid w:val="77BD5287"/>
    <w:rsid w:val="77C80387"/>
    <w:rsid w:val="780E2E70"/>
    <w:rsid w:val="783308D2"/>
    <w:rsid w:val="788F08F5"/>
    <w:rsid w:val="793E29CB"/>
    <w:rsid w:val="79C219A8"/>
    <w:rsid w:val="79E82E0D"/>
    <w:rsid w:val="7A093BD3"/>
    <w:rsid w:val="7A304166"/>
    <w:rsid w:val="7A382239"/>
    <w:rsid w:val="7A466F61"/>
    <w:rsid w:val="7A9D10A5"/>
    <w:rsid w:val="7A9D4D71"/>
    <w:rsid w:val="7AB84EC9"/>
    <w:rsid w:val="7AC42BC6"/>
    <w:rsid w:val="7B0959EC"/>
    <w:rsid w:val="7B356DFB"/>
    <w:rsid w:val="7B393055"/>
    <w:rsid w:val="7B3C6FC7"/>
    <w:rsid w:val="7B59383C"/>
    <w:rsid w:val="7B600BCE"/>
    <w:rsid w:val="7B735B79"/>
    <w:rsid w:val="7BCD65B4"/>
    <w:rsid w:val="7C750F2E"/>
    <w:rsid w:val="7C857F3F"/>
    <w:rsid w:val="7CB654E5"/>
    <w:rsid w:val="7D114FEA"/>
    <w:rsid w:val="7D2E3601"/>
    <w:rsid w:val="7D6B021B"/>
    <w:rsid w:val="7D8B0CF7"/>
    <w:rsid w:val="7DA06710"/>
    <w:rsid w:val="7DA112E2"/>
    <w:rsid w:val="7DC13E35"/>
    <w:rsid w:val="7E10359B"/>
    <w:rsid w:val="7E347FF9"/>
    <w:rsid w:val="7E38569C"/>
    <w:rsid w:val="7E422A90"/>
    <w:rsid w:val="7E58322D"/>
    <w:rsid w:val="7EAA65BE"/>
    <w:rsid w:val="7EC144D2"/>
    <w:rsid w:val="7EC41C39"/>
    <w:rsid w:val="7EE1542B"/>
    <w:rsid w:val="7F0A7A3E"/>
    <w:rsid w:val="7F200484"/>
    <w:rsid w:val="7F27000E"/>
    <w:rsid w:val="7F477C68"/>
    <w:rsid w:val="7F852FC2"/>
    <w:rsid w:val="7FCF25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99"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47"/>
    <w:qFormat/>
    <w:uiPriority w:val="0"/>
    <w:pPr>
      <w:keepNext/>
      <w:keepLines/>
      <w:spacing w:before="340" w:after="330" w:line="578" w:lineRule="auto"/>
      <w:outlineLvl w:val="0"/>
    </w:pPr>
    <w:rPr>
      <w:b/>
      <w:bCs/>
      <w:kern w:val="44"/>
      <w:sz w:val="44"/>
      <w:szCs w:val="44"/>
    </w:rPr>
  </w:style>
  <w:style w:type="character" w:default="1" w:styleId="11">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Balloon Text"/>
    <w:basedOn w:val="1"/>
    <w:link w:val="37"/>
    <w:qFormat/>
    <w:uiPriority w:val="0"/>
    <w:rPr>
      <w:rFonts w:ascii="宋体" w:eastAsia="宋体"/>
      <w:sz w:val="18"/>
      <w:szCs w:val="18"/>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Body Text Indent 3"/>
    <w:basedOn w:val="1"/>
    <w:qFormat/>
    <w:uiPriority w:val="99"/>
    <w:pPr>
      <w:ind w:firstLine="420"/>
    </w:pPr>
    <w:rPr>
      <w:rFonts w:ascii="宋体" w:hAnsi="宋体"/>
      <w:position w:val="-12"/>
      <w:sz w:val="28"/>
    </w:rPr>
  </w:style>
  <w:style w:type="paragraph" w:styleId="8">
    <w:name w:val="Normal (Web)"/>
    <w:basedOn w:val="1"/>
    <w:qFormat/>
    <w:uiPriority w:val="0"/>
    <w:pPr>
      <w:spacing w:beforeAutospacing="1" w:afterAutospacing="1"/>
      <w:jc w:val="left"/>
    </w:pPr>
    <w:rPr>
      <w:rFonts w:cs="Times New Roman"/>
      <w:kern w:val="0"/>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qFormat/>
    <w:uiPriority w:val="0"/>
    <w:rPr>
      <w:color w:val="0563C1" w:themeColor="hyperlink"/>
      <w:u w:val="single"/>
      <w14:textFill>
        <w14:solidFill>
          <w14:schemeClr w14:val="hlink"/>
        </w14:solidFill>
      </w14:textFill>
    </w:rPr>
  </w:style>
  <w:style w:type="character" w:styleId="13">
    <w:name w:val="annotation reference"/>
    <w:basedOn w:val="11"/>
    <w:qFormat/>
    <w:uiPriority w:val="0"/>
    <w:rPr>
      <w:sz w:val="21"/>
      <w:szCs w:val="21"/>
    </w:rPr>
  </w:style>
  <w:style w:type="character" w:customStyle="1" w:styleId="14">
    <w:name w:val="font121"/>
    <w:basedOn w:val="11"/>
    <w:qFormat/>
    <w:uiPriority w:val="0"/>
    <w:rPr>
      <w:rFonts w:hint="eastAsia" w:ascii="宋体" w:hAnsi="宋体" w:eastAsia="宋体" w:cs="宋体"/>
      <w:color w:val="000000"/>
      <w:sz w:val="18"/>
      <w:szCs w:val="18"/>
      <w:u w:val="none"/>
    </w:rPr>
  </w:style>
  <w:style w:type="character" w:customStyle="1" w:styleId="15">
    <w:name w:val="font161"/>
    <w:basedOn w:val="11"/>
    <w:qFormat/>
    <w:uiPriority w:val="0"/>
    <w:rPr>
      <w:rFonts w:hint="default" w:ascii="Times New Roman" w:hAnsi="Times New Roman" w:cs="Times New Roman"/>
      <w:color w:val="000000"/>
      <w:sz w:val="18"/>
      <w:szCs w:val="18"/>
      <w:u w:val="none"/>
    </w:rPr>
  </w:style>
  <w:style w:type="character" w:customStyle="1" w:styleId="16">
    <w:name w:val="font101"/>
    <w:basedOn w:val="11"/>
    <w:qFormat/>
    <w:uiPriority w:val="0"/>
    <w:rPr>
      <w:rFonts w:hint="eastAsia" w:ascii="宋体" w:hAnsi="宋体" w:eastAsia="宋体" w:cs="宋体"/>
      <w:color w:val="000000"/>
      <w:sz w:val="18"/>
      <w:szCs w:val="18"/>
      <w:u w:val="none"/>
    </w:rPr>
  </w:style>
  <w:style w:type="character" w:customStyle="1" w:styleId="17">
    <w:name w:val="font41"/>
    <w:basedOn w:val="11"/>
    <w:qFormat/>
    <w:uiPriority w:val="0"/>
    <w:rPr>
      <w:rFonts w:hint="eastAsia" w:ascii="宋体" w:hAnsi="宋体" w:eastAsia="宋体" w:cs="宋体"/>
      <w:color w:val="000000"/>
      <w:sz w:val="18"/>
      <w:szCs w:val="18"/>
      <w:u w:val="none"/>
    </w:rPr>
  </w:style>
  <w:style w:type="character" w:customStyle="1" w:styleId="18">
    <w:name w:val="font61"/>
    <w:basedOn w:val="11"/>
    <w:qFormat/>
    <w:uiPriority w:val="0"/>
    <w:rPr>
      <w:rFonts w:hint="default" w:ascii="Times New Roman" w:hAnsi="Times New Roman" w:cs="Times New Roman"/>
      <w:color w:val="000000"/>
      <w:sz w:val="18"/>
      <w:szCs w:val="18"/>
      <w:u w:val="none"/>
    </w:rPr>
  </w:style>
  <w:style w:type="character" w:customStyle="1" w:styleId="19">
    <w:name w:val="font71"/>
    <w:basedOn w:val="11"/>
    <w:qFormat/>
    <w:uiPriority w:val="0"/>
    <w:rPr>
      <w:rFonts w:hint="default" w:ascii="Times New Roman" w:hAnsi="Times New Roman" w:cs="Times New Roman"/>
      <w:color w:val="000000"/>
      <w:sz w:val="18"/>
      <w:szCs w:val="18"/>
      <w:u w:val="none"/>
    </w:rPr>
  </w:style>
  <w:style w:type="character" w:customStyle="1" w:styleId="20">
    <w:name w:val="font51"/>
    <w:basedOn w:val="11"/>
    <w:qFormat/>
    <w:uiPriority w:val="0"/>
    <w:rPr>
      <w:rFonts w:hint="default" w:ascii="Times New Roman" w:hAnsi="Times New Roman" w:cs="Times New Roman"/>
      <w:color w:val="000000"/>
      <w:sz w:val="20"/>
      <w:szCs w:val="20"/>
      <w:u w:val="none"/>
    </w:rPr>
  </w:style>
  <w:style w:type="character" w:customStyle="1" w:styleId="21">
    <w:name w:val="font81"/>
    <w:basedOn w:val="11"/>
    <w:qFormat/>
    <w:uiPriority w:val="0"/>
    <w:rPr>
      <w:rFonts w:hint="eastAsia" w:ascii="宋体" w:hAnsi="宋体" w:eastAsia="宋体" w:cs="宋体"/>
      <w:color w:val="000000"/>
      <w:sz w:val="20"/>
      <w:szCs w:val="20"/>
      <w:u w:val="none"/>
    </w:rPr>
  </w:style>
  <w:style w:type="character" w:customStyle="1" w:styleId="22">
    <w:name w:val="font21"/>
    <w:basedOn w:val="11"/>
    <w:qFormat/>
    <w:uiPriority w:val="0"/>
    <w:rPr>
      <w:rFonts w:hint="eastAsia" w:ascii="宋体" w:hAnsi="宋体" w:eastAsia="宋体" w:cs="宋体"/>
      <w:color w:val="000000"/>
      <w:sz w:val="22"/>
      <w:szCs w:val="22"/>
      <w:u w:val="none"/>
    </w:rPr>
  </w:style>
  <w:style w:type="character" w:customStyle="1" w:styleId="23">
    <w:name w:val="font31"/>
    <w:basedOn w:val="11"/>
    <w:qFormat/>
    <w:uiPriority w:val="0"/>
    <w:rPr>
      <w:rFonts w:hint="default" w:ascii="Times New Roman" w:hAnsi="Times New Roman" w:cs="Times New Roman"/>
      <w:color w:val="000000"/>
      <w:sz w:val="22"/>
      <w:szCs w:val="22"/>
      <w:u w:val="none"/>
    </w:rPr>
  </w:style>
  <w:style w:type="character" w:customStyle="1" w:styleId="24">
    <w:name w:val="font111"/>
    <w:basedOn w:val="11"/>
    <w:qFormat/>
    <w:uiPriority w:val="0"/>
    <w:rPr>
      <w:rFonts w:hint="default" w:ascii="Times New Roman" w:hAnsi="Times New Roman" w:cs="Times New Roman"/>
      <w:color w:val="000000"/>
      <w:sz w:val="24"/>
      <w:szCs w:val="24"/>
      <w:u w:val="none"/>
    </w:rPr>
  </w:style>
  <w:style w:type="character" w:customStyle="1" w:styleId="25">
    <w:name w:val="font91"/>
    <w:basedOn w:val="11"/>
    <w:qFormat/>
    <w:uiPriority w:val="0"/>
    <w:rPr>
      <w:rFonts w:hint="default" w:ascii="Times New Roman" w:hAnsi="Times New Roman" w:cs="Times New Roman"/>
      <w:color w:val="000000"/>
      <w:sz w:val="20"/>
      <w:szCs w:val="20"/>
      <w:u w:val="none"/>
    </w:rPr>
  </w:style>
  <w:style w:type="character" w:customStyle="1" w:styleId="26">
    <w:name w:val="font11"/>
    <w:basedOn w:val="11"/>
    <w:qFormat/>
    <w:uiPriority w:val="0"/>
    <w:rPr>
      <w:rFonts w:hint="eastAsia" w:ascii="宋体" w:hAnsi="宋体" w:eastAsia="宋体" w:cs="宋体"/>
      <w:color w:val="000000"/>
      <w:sz w:val="18"/>
      <w:szCs w:val="18"/>
      <w:u w:val="none"/>
    </w:rPr>
  </w:style>
  <w:style w:type="character" w:customStyle="1" w:styleId="27">
    <w:name w:val="font01"/>
    <w:basedOn w:val="11"/>
    <w:qFormat/>
    <w:uiPriority w:val="0"/>
    <w:rPr>
      <w:rFonts w:hint="eastAsia" w:ascii="宋体" w:hAnsi="宋体" w:eastAsia="宋体" w:cs="宋体"/>
      <w:color w:val="000000"/>
      <w:sz w:val="18"/>
      <w:szCs w:val="18"/>
      <w:u w:val="none"/>
    </w:rPr>
  </w:style>
  <w:style w:type="character" w:customStyle="1" w:styleId="28">
    <w:name w:val="font112"/>
    <w:basedOn w:val="11"/>
    <w:qFormat/>
    <w:uiPriority w:val="0"/>
    <w:rPr>
      <w:rFonts w:hint="default" w:ascii="Times New Roman" w:hAnsi="Times New Roman" w:cs="Times New Roman"/>
      <w:color w:val="000000"/>
      <w:sz w:val="20"/>
      <w:szCs w:val="20"/>
      <w:u w:val="none"/>
    </w:rPr>
  </w:style>
  <w:style w:type="character" w:customStyle="1" w:styleId="29">
    <w:name w:val="15"/>
    <w:basedOn w:val="11"/>
    <w:qFormat/>
    <w:uiPriority w:val="0"/>
    <w:rPr>
      <w:rFonts w:hint="default" w:ascii="Times New Roman" w:hAnsi="Times New Roman" w:cs="Times New Roman"/>
      <w:color w:val="000000"/>
      <w:sz w:val="20"/>
      <w:szCs w:val="20"/>
      <w:vertAlign w:val="subscript"/>
    </w:rPr>
  </w:style>
  <w:style w:type="character" w:customStyle="1" w:styleId="30">
    <w:name w:val="18"/>
    <w:basedOn w:val="11"/>
    <w:qFormat/>
    <w:uiPriority w:val="0"/>
    <w:rPr>
      <w:rFonts w:hint="default" w:ascii="Times New Roman" w:hAnsi="Times New Roman" w:cs="Times New Roman"/>
      <w:color w:val="000000"/>
      <w:sz w:val="20"/>
      <w:szCs w:val="20"/>
    </w:rPr>
  </w:style>
  <w:style w:type="character" w:customStyle="1" w:styleId="31">
    <w:name w:val="16"/>
    <w:basedOn w:val="11"/>
    <w:qFormat/>
    <w:uiPriority w:val="0"/>
    <w:rPr>
      <w:rFonts w:hint="default" w:ascii="Times New Roman" w:hAnsi="Times New Roman" w:cs="Times New Roman"/>
      <w:color w:val="000000"/>
      <w:sz w:val="20"/>
      <w:szCs w:val="20"/>
    </w:rPr>
  </w:style>
  <w:style w:type="character" w:customStyle="1" w:styleId="32">
    <w:name w:val="10"/>
    <w:basedOn w:val="11"/>
    <w:qFormat/>
    <w:uiPriority w:val="0"/>
    <w:rPr>
      <w:rFonts w:hint="default" w:ascii="Calibri" w:hAnsi="Calibri" w:cs="Calibri"/>
    </w:rPr>
  </w:style>
  <w:style w:type="character" w:customStyle="1" w:styleId="33">
    <w:name w:val="17"/>
    <w:basedOn w:val="11"/>
    <w:qFormat/>
    <w:uiPriority w:val="0"/>
    <w:rPr>
      <w:rFonts w:hint="default" w:ascii="Times New Roman" w:hAnsi="Times New Roman" w:cs="Times New Roman"/>
      <w:color w:val="000000"/>
      <w:sz w:val="20"/>
      <w:szCs w:val="20"/>
      <w:vertAlign w:val="subscript"/>
    </w:rPr>
  </w:style>
  <w:style w:type="character" w:customStyle="1" w:styleId="34">
    <w:name w:val="未处理的提及1"/>
    <w:basedOn w:val="11"/>
    <w:semiHidden/>
    <w:unhideWhenUsed/>
    <w:qFormat/>
    <w:uiPriority w:val="99"/>
    <w:rPr>
      <w:color w:val="605E5C"/>
      <w:shd w:val="clear" w:color="auto" w:fill="E1DFDD"/>
    </w:rPr>
  </w:style>
  <w:style w:type="paragraph" w:customStyle="1" w:styleId="35">
    <w:name w:val="段"/>
    <w:link w:val="36"/>
    <w:qFormat/>
    <w:uiPriority w:val="0"/>
    <w:pPr>
      <w:autoSpaceDE w:val="0"/>
      <w:autoSpaceDN w:val="0"/>
      <w:ind w:firstLine="200" w:firstLineChars="200"/>
      <w:jc w:val="both"/>
    </w:pPr>
    <w:rPr>
      <w:rFonts w:ascii="宋体" w:cs="Times New Roman" w:hAnsiTheme="minorHAnsi" w:eastAsiaTheme="minorEastAsia"/>
      <w:sz w:val="21"/>
      <w:szCs w:val="22"/>
      <w:lang w:val="en-US" w:eastAsia="zh-CN" w:bidi="ar-SA"/>
    </w:rPr>
  </w:style>
  <w:style w:type="character" w:customStyle="1" w:styleId="36">
    <w:name w:val="段 Char"/>
    <w:basedOn w:val="11"/>
    <w:link w:val="35"/>
    <w:qFormat/>
    <w:uiPriority w:val="0"/>
    <w:rPr>
      <w:rFonts w:ascii="宋体" w:hAnsiTheme="minorHAnsi" w:eastAsiaTheme="minorEastAsia"/>
      <w:sz w:val="21"/>
      <w:szCs w:val="22"/>
    </w:rPr>
  </w:style>
  <w:style w:type="character" w:customStyle="1" w:styleId="37">
    <w:name w:val="批注框文本 字符"/>
    <w:basedOn w:val="11"/>
    <w:link w:val="4"/>
    <w:qFormat/>
    <w:uiPriority w:val="0"/>
    <w:rPr>
      <w:rFonts w:ascii="宋体" w:hAnsiTheme="minorHAnsi" w:cstheme="minorBidi"/>
      <w:kern w:val="2"/>
      <w:sz w:val="18"/>
      <w:szCs w:val="18"/>
    </w:rPr>
  </w:style>
  <w:style w:type="paragraph" w:customStyle="1" w:styleId="38">
    <w:name w:val="正文表标题"/>
    <w:next w:val="35"/>
    <w:qFormat/>
    <w:uiPriority w:val="0"/>
    <w:pPr>
      <w:numPr>
        <w:ilvl w:val="0"/>
        <w:numId w:val="1"/>
      </w:numPr>
      <w:tabs>
        <w:tab w:val="left" w:pos="360"/>
      </w:tabs>
      <w:jc w:val="center"/>
    </w:pPr>
    <w:rPr>
      <w:rFonts w:ascii="黑体" w:eastAsia="黑体" w:cs="Times New Roman" w:hAnsiTheme="minorHAnsi"/>
      <w:sz w:val="21"/>
      <w:szCs w:val="22"/>
      <w:lang w:val="en-US" w:eastAsia="zh-CN" w:bidi="ar-SA"/>
    </w:rPr>
  </w:style>
  <w:style w:type="paragraph" w:customStyle="1" w:styleId="39">
    <w:name w:val="附录标识"/>
    <w:basedOn w:val="1"/>
    <w:qFormat/>
    <w:uiPriority w:val="99"/>
    <w:pPr>
      <w:widowControl/>
      <w:numPr>
        <w:ilvl w:val="0"/>
        <w:numId w:val="2"/>
      </w:numPr>
      <w:shd w:val="clear" w:color="FFFFFF" w:fill="FFFFFF"/>
      <w:tabs>
        <w:tab w:val="left" w:pos="360"/>
        <w:tab w:val="left" w:pos="6405"/>
      </w:tabs>
      <w:spacing w:before="640" w:after="200"/>
      <w:ind w:left="1620"/>
      <w:jc w:val="center"/>
      <w:outlineLvl w:val="0"/>
    </w:pPr>
    <w:rPr>
      <w:rFonts w:ascii="黑体" w:eastAsia="黑体" w:cs="Times New Roman"/>
      <w:kern w:val="0"/>
      <w:szCs w:val="22"/>
    </w:rPr>
  </w:style>
  <w:style w:type="paragraph" w:customStyle="1" w:styleId="40">
    <w:name w:val="附录章标题"/>
    <w:next w:val="35"/>
    <w:qFormat/>
    <w:uiPriority w:val="99"/>
    <w:pPr>
      <w:numPr>
        <w:ilvl w:val="1"/>
        <w:numId w:val="2"/>
      </w:numPr>
      <w:tabs>
        <w:tab w:val="left" w:pos="360"/>
      </w:tabs>
      <w:wordWrap w:val="0"/>
      <w:overflowPunct w:val="0"/>
      <w:autoSpaceDE w:val="0"/>
      <w:spacing w:beforeLines="50" w:afterLines="50"/>
      <w:ind w:left="0"/>
      <w:jc w:val="both"/>
      <w:textAlignment w:val="baseline"/>
      <w:outlineLvl w:val="1"/>
    </w:pPr>
    <w:rPr>
      <w:rFonts w:ascii="黑体" w:eastAsia="黑体" w:cs="Times New Roman" w:hAnsiTheme="minorHAnsi"/>
      <w:kern w:val="21"/>
      <w:sz w:val="21"/>
      <w:szCs w:val="22"/>
      <w:lang w:val="en-US" w:eastAsia="zh-CN" w:bidi="ar-SA"/>
    </w:rPr>
  </w:style>
  <w:style w:type="paragraph" w:customStyle="1" w:styleId="41">
    <w:name w:val="附录一级条标题"/>
    <w:basedOn w:val="40"/>
    <w:next w:val="35"/>
    <w:qFormat/>
    <w:uiPriority w:val="99"/>
    <w:pPr>
      <w:numPr>
        <w:ilvl w:val="2"/>
      </w:numPr>
      <w:autoSpaceDN w:val="0"/>
      <w:spacing w:beforeLines="0" w:afterLines="0"/>
      <w:outlineLvl w:val="2"/>
    </w:pPr>
  </w:style>
  <w:style w:type="paragraph" w:customStyle="1" w:styleId="42">
    <w:name w:val="附录二级条标题"/>
    <w:basedOn w:val="41"/>
    <w:next w:val="35"/>
    <w:qFormat/>
    <w:uiPriority w:val="99"/>
    <w:pPr>
      <w:numPr>
        <w:ilvl w:val="3"/>
      </w:numPr>
      <w:outlineLvl w:val="3"/>
    </w:pPr>
  </w:style>
  <w:style w:type="paragraph" w:customStyle="1" w:styleId="43">
    <w:name w:val="附录三级条标题"/>
    <w:basedOn w:val="42"/>
    <w:next w:val="35"/>
    <w:qFormat/>
    <w:uiPriority w:val="99"/>
    <w:pPr>
      <w:numPr>
        <w:ilvl w:val="4"/>
      </w:numPr>
      <w:outlineLvl w:val="4"/>
    </w:pPr>
  </w:style>
  <w:style w:type="paragraph" w:customStyle="1" w:styleId="44">
    <w:name w:val="附录四级条标题"/>
    <w:basedOn w:val="43"/>
    <w:next w:val="35"/>
    <w:qFormat/>
    <w:uiPriority w:val="99"/>
    <w:pPr>
      <w:numPr>
        <w:ilvl w:val="5"/>
      </w:numPr>
      <w:outlineLvl w:val="5"/>
    </w:pPr>
  </w:style>
  <w:style w:type="paragraph" w:customStyle="1" w:styleId="45">
    <w:name w:val="附录五级条标题"/>
    <w:basedOn w:val="44"/>
    <w:next w:val="35"/>
    <w:qFormat/>
    <w:uiPriority w:val="99"/>
    <w:pPr>
      <w:numPr>
        <w:ilvl w:val="6"/>
      </w:numPr>
      <w:outlineLvl w:val="6"/>
    </w:pPr>
  </w:style>
  <w:style w:type="paragraph" w:customStyle="1" w:styleId="4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 w:type="character" w:customStyle="1" w:styleId="47">
    <w:name w:val="标题 1 字符"/>
    <w:basedOn w:val="11"/>
    <w:link w:val="2"/>
    <w:qFormat/>
    <w:uiPriority w:val="0"/>
    <w:rPr>
      <w:rFonts w:asciiTheme="minorHAnsi" w:hAnsiTheme="minorHAnsi" w:eastAsiaTheme="minorEastAsia" w:cstheme="minorBidi"/>
      <w:b/>
      <w:bCs/>
      <w:kern w:val="44"/>
      <w:sz w:val="44"/>
      <w:szCs w:val="44"/>
    </w:rPr>
  </w:style>
  <w:style w:type="paragraph" w:customStyle="1" w:styleId="48">
    <w:name w:val="前言、引言标题"/>
    <w:next w:val="1"/>
    <w:qFormat/>
    <w:uiPriority w:val="99"/>
    <w:pPr>
      <w:numPr>
        <w:ilvl w:val="0"/>
        <w:numId w:val="3"/>
      </w:numPr>
      <w:shd w:val="clear" w:color="FFFFFF" w:fill="FFFFFF"/>
      <w:spacing w:before="640" w:after="560"/>
      <w:jc w:val="center"/>
      <w:outlineLvl w:val="0"/>
    </w:pPr>
    <w:rPr>
      <w:rFonts w:ascii="黑体" w:eastAsia="黑体" w:hAnsiTheme="minorHAnsi" w:cstheme="minorBidi"/>
      <w:sz w:val="32"/>
      <w:szCs w:val="22"/>
      <w:lang w:val="en-US" w:eastAsia="zh-CN" w:bidi="ar-SA"/>
    </w:rPr>
  </w:style>
  <w:style w:type="paragraph" w:customStyle="1" w:styleId="49">
    <w:name w:val="章标题"/>
    <w:next w:val="1"/>
    <w:qFormat/>
    <w:uiPriority w:val="0"/>
    <w:pPr>
      <w:numPr>
        <w:ilvl w:val="1"/>
        <w:numId w:val="3"/>
      </w:numPr>
      <w:tabs>
        <w:tab w:val="left" w:pos="360"/>
      </w:tabs>
      <w:spacing w:beforeLines="50" w:afterLines="50"/>
      <w:jc w:val="both"/>
      <w:outlineLvl w:val="1"/>
    </w:pPr>
    <w:rPr>
      <w:rFonts w:ascii="黑体" w:eastAsia="黑体" w:hAnsiTheme="minorHAnsi" w:cstheme="minorBidi"/>
      <w:sz w:val="21"/>
      <w:lang w:val="en-US" w:eastAsia="zh-CN" w:bidi="ar-SA"/>
    </w:rPr>
  </w:style>
  <w:style w:type="paragraph" w:customStyle="1" w:styleId="50">
    <w:name w:val="样式正文"/>
    <w:basedOn w:val="1"/>
    <w:qFormat/>
    <w:uiPriority w:val="0"/>
    <w:pPr>
      <w:spacing w:line="360" w:lineRule="auto"/>
      <w:ind w:firstLine="480" w:firstLineChars="200"/>
    </w:pPr>
    <w:rPr>
      <w:rFonts w:ascii="Arial" w:hAnsi="Arial" w:eastAsia="仿宋_GB2312" w:cs="Arial"/>
      <w:sz w:val="24"/>
    </w:rPr>
  </w:style>
  <w:style w:type="paragraph" w:customStyle="1" w:styleId="51">
    <w:name w:val="修订1"/>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52">
    <w:name w:val="修订2"/>
    <w:hidden/>
    <w:semiHidden/>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image" Target="media/image1.emf"/><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7.emf"/><Relationship Id="rId12" Type="http://schemas.openxmlformats.org/officeDocument/2006/relationships/image" Target="media/image6.emf"/><Relationship Id="rId11" Type="http://schemas.openxmlformats.org/officeDocument/2006/relationships/image" Target="media/image5.emf"/><Relationship Id="rId10" Type="http://schemas.openxmlformats.org/officeDocument/2006/relationships/image" Target="media/image4.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DAN\Desktop\2019&#25239;&#29983;&#32032;&#26631;&#20934;\2019kss-wushui.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C:\Users\DAN\Desktop\2019&#25239;&#29983;&#32032;&#26631;&#20934;\2019kss-wushu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Sheet1!$K$1</c:f>
              <c:strCache>
                <c:ptCount val="1"/>
                <c:pt idx="0">
                  <c:v>方法一</c:v>
                </c:pt>
              </c:strCache>
            </c:strRef>
          </c:tx>
          <c:spPr>
            <a:solidFill>
              <a:schemeClr val="accent1"/>
            </a:solidFill>
            <a:ln>
              <a:noFill/>
            </a:ln>
            <a:effectLst/>
          </c:spPr>
          <c:invertIfNegative val="0"/>
          <c:dLbls>
            <c:delete val="1"/>
          </c:dLbls>
          <c:cat>
            <c:strRef>
              <c:f>Sheet1!$J$2:$J$34</c:f>
              <c:strCache>
                <c:ptCount val="33"/>
                <c:pt idx="0">
                  <c:v>磺胺嘧啶</c:v>
                </c:pt>
                <c:pt idx="1">
                  <c:v>磺胺二甲基嘧啶</c:v>
                </c:pt>
                <c:pt idx="2">
                  <c:v>磺胺氯哒嗪</c:v>
                </c:pt>
                <c:pt idx="3">
                  <c:v>磺胺甲噁唑</c:v>
                </c:pt>
                <c:pt idx="4">
                  <c:v>磺胺甲氧嗪</c:v>
                </c:pt>
                <c:pt idx="5">
                  <c:v>磺胺对甲氧嘧啶</c:v>
                </c:pt>
                <c:pt idx="6">
                  <c:v>磺胺间甲氧嘧啶</c:v>
                </c:pt>
                <c:pt idx="7">
                  <c:v>磺胺噻唑</c:v>
                </c:pt>
                <c:pt idx="8">
                  <c:v>磺胺间二甲氧嘧啶</c:v>
                </c:pt>
                <c:pt idx="9">
                  <c:v>磺胺甲噻二唑</c:v>
                </c:pt>
                <c:pt idx="10">
                  <c:v>磺胺苯吡唑</c:v>
                </c:pt>
                <c:pt idx="11">
                  <c:v>磺胺脒</c:v>
                </c:pt>
                <c:pt idx="12">
                  <c:v>磺胺醋酰钠</c:v>
                </c:pt>
                <c:pt idx="13">
                  <c:v>磺胺邻二甲氧嘧啶</c:v>
                </c:pt>
                <c:pt idx="14">
                  <c:v>磺胺喹噁啉</c:v>
                </c:pt>
                <c:pt idx="15">
                  <c:v>诺氟沙星</c:v>
                </c:pt>
                <c:pt idx="16">
                  <c:v>氟罗沙星</c:v>
                </c:pt>
                <c:pt idx="17">
                  <c:v>司帕沙星</c:v>
                </c:pt>
                <c:pt idx="18">
                  <c:v>奥比沙星</c:v>
                </c:pt>
                <c:pt idx="19">
                  <c:v>恩诺沙星</c:v>
                </c:pt>
                <c:pt idx="20">
                  <c:v>达氟沙星</c:v>
                </c:pt>
                <c:pt idx="21">
                  <c:v>培氟沙星</c:v>
                </c:pt>
                <c:pt idx="22">
                  <c:v>二氟沙星</c:v>
                </c:pt>
                <c:pt idx="23">
                  <c:v>环丙沙星</c:v>
                </c:pt>
                <c:pt idx="24">
                  <c:v>沙拉沙星</c:v>
                </c:pt>
                <c:pt idx="25">
                  <c:v>洛美沙星</c:v>
                </c:pt>
                <c:pt idx="26">
                  <c:v>氧氟沙星</c:v>
                </c:pt>
                <c:pt idx="27">
                  <c:v>氟甲喹</c:v>
                </c:pt>
                <c:pt idx="28">
                  <c:v>恶喹酸</c:v>
                </c:pt>
                <c:pt idx="29">
                  <c:v>四环素</c:v>
                </c:pt>
                <c:pt idx="30">
                  <c:v>土霉素</c:v>
                </c:pt>
                <c:pt idx="31">
                  <c:v>金霉素</c:v>
                </c:pt>
                <c:pt idx="32">
                  <c:v>多西环素</c:v>
                </c:pt>
              </c:strCache>
            </c:strRef>
          </c:cat>
          <c:val>
            <c:numRef>
              <c:f>Sheet1!$K$2:$K$34</c:f>
              <c:numCache>
                <c:formatCode>General</c:formatCode>
                <c:ptCount val="33"/>
                <c:pt idx="0">
                  <c:v>0.601</c:v>
                </c:pt>
                <c:pt idx="1">
                  <c:v>0.585</c:v>
                </c:pt>
                <c:pt idx="2">
                  <c:v>0.497</c:v>
                </c:pt>
                <c:pt idx="3">
                  <c:v>0.559</c:v>
                </c:pt>
                <c:pt idx="4">
                  <c:v>0.657</c:v>
                </c:pt>
                <c:pt idx="5">
                  <c:v>0.661</c:v>
                </c:pt>
                <c:pt idx="6">
                  <c:v>0.567</c:v>
                </c:pt>
                <c:pt idx="7">
                  <c:v>0.601</c:v>
                </c:pt>
                <c:pt idx="8">
                  <c:v>0.51</c:v>
                </c:pt>
                <c:pt idx="9">
                  <c:v>0.61</c:v>
                </c:pt>
                <c:pt idx="10">
                  <c:v>0.59</c:v>
                </c:pt>
                <c:pt idx="11">
                  <c:v>0.66</c:v>
                </c:pt>
                <c:pt idx="12">
                  <c:v>0.57</c:v>
                </c:pt>
                <c:pt idx="13">
                  <c:v>0.63</c:v>
                </c:pt>
                <c:pt idx="14">
                  <c:v>0.68</c:v>
                </c:pt>
                <c:pt idx="15">
                  <c:v>0.73</c:v>
                </c:pt>
                <c:pt idx="16">
                  <c:v>0.71</c:v>
                </c:pt>
                <c:pt idx="17">
                  <c:v>0.69</c:v>
                </c:pt>
                <c:pt idx="18">
                  <c:v>0.64</c:v>
                </c:pt>
                <c:pt idx="19">
                  <c:v>0.67</c:v>
                </c:pt>
                <c:pt idx="20">
                  <c:v>0.73</c:v>
                </c:pt>
                <c:pt idx="21">
                  <c:v>0.81</c:v>
                </c:pt>
                <c:pt idx="22">
                  <c:v>0.67</c:v>
                </c:pt>
                <c:pt idx="23">
                  <c:v>0.58</c:v>
                </c:pt>
                <c:pt idx="24">
                  <c:v>0.65</c:v>
                </c:pt>
                <c:pt idx="25">
                  <c:v>0.71</c:v>
                </c:pt>
                <c:pt idx="26">
                  <c:v>0.69</c:v>
                </c:pt>
                <c:pt idx="27">
                  <c:v>0.78</c:v>
                </c:pt>
                <c:pt idx="28">
                  <c:v>0.8</c:v>
                </c:pt>
                <c:pt idx="29">
                  <c:v>0.58</c:v>
                </c:pt>
                <c:pt idx="30">
                  <c:v>0.61</c:v>
                </c:pt>
                <c:pt idx="31">
                  <c:v>0.62</c:v>
                </c:pt>
                <c:pt idx="32">
                  <c:v>0.67</c:v>
                </c:pt>
              </c:numCache>
            </c:numRef>
          </c:val>
        </c:ser>
        <c:ser>
          <c:idx val="1"/>
          <c:order val="1"/>
          <c:tx>
            <c:strRef>
              <c:f>Sheet1!$L$1</c:f>
              <c:strCache>
                <c:ptCount val="1"/>
                <c:pt idx="0">
                  <c:v>方法二</c:v>
                </c:pt>
              </c:strCache>
            </c:strRef>
          </c:tx>
          <c:spPr>
            <a:solidFill>
              <a:schemeClr val="accent2"/>
            </a:solidFill>
            <a:ln>
              <a:noFill/>
            </a:ln>
            <a:effectLst/>
          </c:spPr>
          <c:invertIfNegative val="0"/>
          <c:dLbls>
            <c:delete val="1"/>
          </c:dLbls>
          <c:cat>
            <c:strRef>
              <c:f>Sheet1!$J$2:$J$34</c:f>
              <c:strCache>
                <c:ptCount val="33"/>
                <c:pt idx="0">
                  <c:v>磺胺嘧啶</c:v>
                </c:pt>
                <c:pt idx="1">
                  <c:v>磺胺二甲基嘧啶</c:v>
                </c:pt>
                <c:pt idx="2">
                  <c:v>磺胺氯哒嗪</c:v>
                </c:pt>
                <c:pt idx="3">
                  <c:v>磺胺甲噁唑</c:v>
                </c:pt>
                <c:pt idx="4">
                  <c:v>磺胺甲氧嗪</c:v>
                </c:pt>
                <c:pt idx="5">
                  <c:v>磺胺对甲氧嘧啶</c:v>
                </c:pt>
                <c:pt idx="6">
                  <c:v>磺胺间甲氧嘧啶</c:v>
                </c:pt>
                <c:pt idx="7">
                  <c:v>磺胺噻唑</c:v>
                </c:pt>
                <c:pt idx="8">
                  <c:v>磺胺间二甲氧嘧啶</c:v>
                </c:pt>
                <c:pt idx="9">
                  <c:v>磺胺甲噻二唑</c:v>
                </c:pt>
                <c:pt idx="10">
                  <c:v>磺胺苯吡唑</c:v>
                </c:pt>
                <c:pt idx="11">
                  <c:v>磺胺脒</c:v>
                </c:pt>
                <c:pt idx="12">
                  <c:v>磺胺醋酰钠</c:v>
                </c:pt>
                <c:pt idx="13">
                  <c:v>磺胺邻二甲氧嘧啶</c:v>
                </c:pt>
                <c:pt idx="14">
                  <c:v>磺胺喹噁啉</c:v>
                </c:pt>
                <c:pt idx="15">
                  <c:v>诺氟沙星</c:v>
                </c:pt>
                <c:pt idx="16">
                  <c:v>氟罗沙星</c:v>
                </c:pt>
                <c:pt idx="17">
                  <c:v>司帕沙星</c:v>
                </c:pt>
                <c:pt idx="18">
                  <c:v>奥比沙星</c:v>
                </c:pt>
                <c:pt idx="19">
                  <c:v>恩诺沙星</c:v>
                </c:pt>
                <c:pt idx="20">
                  <c:v>达氟沙星</c:v>
                </c:pt>
                <c:pt idx="21">
                  <c:v>培氟沙星</c:v>
                </c:pt>
                <c:pt idx="22">
                  <c:v>二氟沙星</c:v>
                </c:pt>
                <c:pt idx="23">
                  <c:v>环丙沙星</c:v>
                </c:pt>
                <c:pt idx="24">
                  <c:v>沙拉沙星</c:v>
                </c:pt>
                <c:pt idx="25">
                  <c:v>洛美沙星</c:v>
                </c:pt>
                <c:pt idx="26">
                  <c:v>氧氟沙星</c:v>
                </c:pt>
                <c:pt idx="27">
                  <c:v>氟甲喹</c:v>
                </c:pt>
                <c:pt idx="28">
                  <c:v>恶喹酸</c:v>
                </c:pt>
                <c:pt idx="29">
                  <c:v>四环素</c:v>
                </c:pt>
                <c:pt idx="30">
                  <c:v>土霉素</c:v>
                </c:pt>
                <c:pt idx="31">
                  <c:v>金霉素</c:v>
                </c:pt>
                <c:pt idx="32">
                  <c:v>多西环素</c:v>
                </c:pt>
              </c:strCache>
            </c:strRef>
          </c:cat>
          <c:val>
            <c:numRef>
              <c:f>Sheet1!$L$2:$L$34</c:f>
              <c:numCache>
                <c:formatCode>General</c:formatCode>
                <c:ptCount val="33"/>
                <c:pt idx="0">
                  <c:v>0.76</c:v>
                </c:pt>
                <c:pt idx="1">
                  <c:v>0.74</c:v>
                </c:pt>
                <c:pt idx="2">
                  <c:v>0.72</c:v>
                </c:pt>
                <c:pt idx="3">
                  <c:v>0.69</c:v>
                </c:pt>
                <c:pt idx="4">
                  <c:v>0.8</c:v>
                </c:pt>
                <c:pt idx="5">
                  <c:v>0.82</c:v>
                </c:pt>
                <c:pt idx="6">
                  <c:v>0.81</c:v>
                </c:pt>
                <c:pt idx="7">
                  <c:v>0.79</c:v>
                </c:pt>
                <c:pt idx="8">
                  <c:v>0.73</c:v>
                </c:pt>
                <c:pt idx="9">
                  <c:v>0.69</c:v>
                </c:pt>
                <c:pt idx="10">
                  <c:v>0.68</c:v>
                </c:pt>
                <c:pt idx="11">
                  <c:v>0.78</c:v>
                </c:pt>
                <c:pt idx="12">
                  <c:v>0.69</c:v>
                </c:pt>
                <c:pt idx="13">
                  <c:v>0.8</c:v>
                </c:pt>
                <c:pt idx="14">
                  <c:v>0.85</c:v>
                </c:pt>
                <c:pt idx="15">
                  <c:v>0.78</c:v>
                </c:pt>
                <c:pt idx="16">
                  <c:v>0.79</c:v>
                </c:pt>
                <c:pt idx="17">
                  <c:v>0.8</c:v>
                </c:pt>
                <c:pt idx="18">
                  <c:v>0.74</c:v>
                </c:pt>
                <c:pt idx="19">
                  <c:v>0.79</c:v>
                </c:pt>
                <c:pt idx="20">
                  <c:v>0.9</c:v>
                </c:pt>
                <c:pt idx="21">
                  <c:v>0.87</c:v>
                </c:pt>
                <c:pt idx="22">
                  <c:v>0.74</c:v>
                </c:pt>
                <c:pt idx="23">
                  <c:v>0.7</c:v>
                </c:pt>
                <c:pt idx="24">
                  <c:v>0.71</c:v>
                </c:pt>
                <c:pt idx="25">
                  <c:v>0.78</c:v>
                </c:pt>
                <c:pt idx="26">
                  <c:v>0.81</c:v>
                </c:pt>
                <c:pt idx="27">
                  <c:v>0.84</c:v>
                </c:pt>
                <c:pt idx="28">
                  <c:v>0.87</c:v>
                </c:pt>
                <c:pt idx="29">
                  <c:v>0.68</c:v>
                </c:pt>
                <c:pt idx="30">
                  <c:v>0.66</c:v>
                </c:pt>
                <c:pt idx="31">
                  <c:v>0.7</c:v>
                </c:pt>
                <c:pt idx="32">
                  <c:v>0.68</c:v>
                </c:pt>
              </c:numCache>
            </c:numRef>
          </c:val>
        </c:ser>
        <c:ser>
          <c:idx val="2"/>
          <c:order val="2"/>
          <c:tx>
            <c:strRef>
              <c:f>Sheet1!$M$1</c:f>
              <c:strCache>
                <c:ptCount val="1"/>
                <c:pt idx="0">
                  <c:v>方法三</c:v>
                </c:pt>
              </c:strCache>
            </c:strRef>
          </c:tx>
          <c:spPr>
            <a:solidFill>
              <a:schemeClr val="accent3"/>
            </a:solidFill>
            <a:ln>
              <a:noFill/>
            </a:ln>
            <a:effectLst/>
          </c:spPr>
          <c:invertIfNegative val="0"/>
          <c:dLbls>
            <c:delete val="1"/>
          </c:dLbls>
          <c:cat>
            <c:strRef>
              <c:f>Sheet1!$J$2:$J$34</c:f>
              <c:strCache>
                <c:ptCount val="33"/>
                <c:pt idx="0">
                  <c:v>磺胺嘧啶</c:v>
                </c:pt>
                <c:pt idx="1">
                  <c:v>磺胺二甲基嘧啶</c:v>
                </c:pt>
                <c:pt idx="2">
                  <c:v>磺胺氯哒嗪</c:v>
                </c:pt>
                <c:pt idx="3">
                  <c:v>磺胺甲噁唑</c:v>
                </c:pt>
                <c:pt idx="4">
                  <c:v>磺胺甲氧嗪</c:v>
                </c:pt>
                <c:pt idx="5">
                  <c:v>磺胺对甲氧嘧啶</c:v>
                </c:pt>
                <c:pt idx="6">
                  <c:v>磺胺间甲氧嘧啶</c:v>
                </c:pt>
                <c:pt idx="7">
                  <c:v>磺胺噻唑</c:v>
                </c:pt>
                <c:pt idx="8">
                  <c:v>磺胺间二甲氧嘧啶</c:v>
                </c:pt>
                <c:pt idx="9">
                  <c:v>磺胺甲噻二唑</c:v>
                </c:pt>
                <c:pt idx="10">
                  <c:v>磺胺苯吡唑</c:v>
                </c:pt>
                <c:pt idx="11">
                  <c:v>磺胺脒</c:v>
                </c:pt>
                <c:pt idx="12">
                  <c:v>磺胺醋酰钠</c:v>
                </c:pt>
                <c:pt idx="13">
                  <c:v>磺胺邻二甲氧嘧啶</c:v>
                </c:pt>
                <c:pt idx="14">
                  <c:v>磺胺喹噁啉</c:v>
                </c:pt>
                <c:pt idx="15">
                  <c:v>诺氟沙星</c:v>
                </c:pt>
                <c:pt idx="16">
                  <c:v>氟罗沙星</c:v>
                </c:pt>
                <c:pt idx="17">
                  <c:v>司帕沙星</c:v>
                </c:pt>
                <c:pt idx="18">
                  <c:v>奥比沙星</c:v>
                </c:pt>
                <c:pt idx="19">
                  <c:v>恩诺沙星</c:v>
                </c:pt>
                <c:pt idx="20">
                  <c:v>达氟沙星</c:v>
                </c:pt>
                <c:pt idx="21">
                  <c:v>培氟沙星</c:v>
                </c:pt>
                <c:pt idx="22">
                  <c:v>二氟沙星</c:v>
                </c:pt>
                <c:pt idx="23">
                  <c:v>环丙沙星</c:v>
                </c:pt>
                <c:pt idx="24">
                  <c:v>沙拉沙星</c:v>
                </c:pt>
                <c:pt idx="25">
                  <c:v>洛美沙星</c:v>
                </c:pt>
                <c:pt idx="26">
                  <c:v>氧氟沙星</c:v>
                </c:pt>
                <c:pt idx="27">
                  <c:v>氟甲喹</c:v>
                </c:pt>
                <c:pt idx="28">
                  <c:v>恶喹酸</c:v>
                </c:pt>
                <c:pt idx="29">
                  <c:v>四环素</c:v>
                </c:pt>
                <c:pt idx="30">
                  <c:v>土霉素</c:v>
                </c:pt>
                <c:pt idx="31">
                  <c:v>金霉素</c:v>
                </c:pt>
                <c:pt idx="32">
                  <c:v>多西环素</c:v>
                </c:pt>
              </c:strCache>
            </c:strRef>
          </c:cat>
          <c:val>
            <c:numRef>
              <c:f>Sheet1!$M$2:$M$34</c:f>
              <c:numCache>
                <c:formatCode>General</c:formatCode>
                <c:ptCount val="33"/>
                <c:pt idx="0">
                  <c:v>0.633333333333333</c:v>
                </c:pt>
                <c:pt idx="1">
                  <c:v>0.616666666666667</c:v>
                </c:pt>
                <c:pt idx="2">
                  <c:v>0.6</c:v>
                </c:pt>
                <c:pt idx="3">
                  <c:v>0.675</c:v>
                </c:pt>
                <c:pt idx="4">
                  <c:v>0.666666666666667</c:v>
                </c:pt>
                <c:pt idx="5">
                  <c:v>0.683333333333333</c:v>
                </c:pt>
                <c:pt idx="6">
                  <c:v>0.675</c:v>
                </c:pt>
                <c:pt idx="7">
                  <c:v>0.658333333333333</c:v>
                </c:pt>
                <c:pt idx="8">
                  <c:v>0.608333333333333</c:v>
                </c:pt>
                <c:pt idx="9">
                  <c:v>0.575</c:v>
                </c:pt>
                <c:pt idx="10">
                  <c:v>0.566666666666667</c:v>
                </c:pt>
                <c:pt idx="11">
                  <c:v>0.65</c:v>
                </c:pt>
                <c:pt idx="12">
                  <c:v>0.575</c:v>
                </c:pt>
                <c:pt idx="13">
                  <c:v>0.666666666666667</c:v>
                </c:pt>
                <c:pt idx="14">
                  <c:v>0.708333333333333</c:v>
                </c:pt>
                <c:pt idx="15">
                  <c:v>0.748181818181818</c:v>
                </c:pt>
                <c:pt idx="16">
                  <c:v>0.728181818181818</c:v>
                </c:pt>
                <c:pt idx="17">
                  <c:v>0.708181818181818</c:v>
                </c:pt>
                <c:pt idx="18">
                  <c:v>0.658181818181818</c:v>
                </c:pt>
                <c:pt idx="19">
                  <c:v>0.688181818181818</c:v>
                </c:pt>
                <c:pt idx="20">
                  <c:v>0.748181818181818</c:v>
                </c:pt>
                <c:pt idx="21">
                  <c:v>0.828181818181818</c:v>
                </c:pt>
                <c:pt idx="22">
                  <c:v>0.688181818181818</c:v>
                </c:pt>
                <c:pt idx="23">
                  <c:v>0.598181818181818</c:v>
                </c:pt>
                <c:pt idx="24">
                  <c:v>0.668181818181818</c:v>
                </c:pt>
                <c:pt idx="25">
                  <c:v>0.728181818181818</c:v>
                </c:pt>
                <c:pt idx="26">
                  <c:v>0.708181818181818</c:v>
                </c:pt>
                <c:pt idx="27">
                  <c:v>0.798181818181818</c:v>
                </c:pt>
                <c:pt idx="28">
                  <c:v>0.818181818181818</c:v>
                </c:pt>
                <c:pt idx="29">
                  <c:v>0.598181818181818</c:v>
                </c:pt>
                <c:pt idx="30">
                  <c:v>0.628181818181818</c:v>
                </c:pt>
                <c:pt idx="31">
                  <c:v>0.638181818181818</c:v>
                </c:pt>
                <c:pt idx="32">
                  <c:v>0.688181818181818</c:v>
                </c:pt>
              </c:numCache>
            </c:numRef>
          </c:val>
        </c:ser>
        <c:dLbls>
          <c:showLegendKey val="0"/>
          <c:showVal val="0"/>
          <c:showCatName val="0"/>
          <c:showSerName val="0"/>
          <c:showPercent val="0"/>
          <c:showBubbleSize val="0"/>
        </c:dLbls>
        <c:gapWidth val="219"/>
        <c:overlap val="-27"/>
        <c:axId val="542165024"/>
        <c:axId val="542168632"/>
      </c:barChart>
      <c:catAx>
        <c:axId val="542165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240000" spcFirstLastPara="1" vertOverflow="ellipsis" vert="horz" wrap="square" anchor="t" anchorCtr="0"/>
          <a:lstStyle/>
          <a:p>
            <a:pPr>
              <a:defRPr lang="zh-CN" sz="800" b="1" i="0" u="none" strike="noStrike" kern="1200" baseline="0">
                <a:solidFill>
                  <a:schemeClr val="tx1">
                    <a:lumMod val="65000"/>
                    <a:lumOff val="35000"/>
                  </a:schemeClr>
                </a:solidFill>
                <a:latin typeface="+mn-lt"/>
                <a:ea typeface="+mn-ea"/>
                <a:cs typeface="+mn-cs"/>
              </a:defRPr>
            </a:pPr>
          </a:p>
        </c:txPr>
        <c:crossAx val="542168632"/>
        <c:crosses val="autoZero"/>
        <c:auto val="0"/>
        <c:lblAlgn val="ctr"/>
        <c:lblOffset val="100"/>
        <c:noMultiLvlLbl val="0"/>
      </c:catAx>
      <c:valAx>
        <c:axId val="54216863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1" i="0" u="none" strike="noStrike" kern="1200" baseline="0">
                <a:solidFill>
                  <a:schemeClr val="tx1">
                    <a:lumMod val="65000"/>
                    <a:lumOff val="35000"/>
                  </a:schemeClr>
                </a:solidFill>
                <a:latin typeface="+mn-lt"/>
                <a:ea typeface="+mn-ea"/>
                <a:cs typeface="+mn-cs"/>
              </a:defRPr>
            </a:pPr>
          </a:p>
        </c:txPr>
        <c:crossAx val="542165024"/>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lang="zh-CN" sz="900" b="1"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方法比较和基质效应!$M$1</c:f>
              <c:strCache>
                <c:ptCount val="1"/>
                <c:pt idx="0">
                  <c:v>方法三</c:v>
                </c:pt>
              </c:strCache>
            </c:strRef>
          </c:tx>
          <c:spPr>
            <a:solidFill>
              <a:schemeClr val="accent5"/>
            </a:solidFill>
            <a:ln>
              <a:noFill/>
            </a:ln>
            <a:effectLst/>
          </c:spPr>
          <c:invertIfNegative val="0"/>
          <c:dLbls>
            <c:delete val="1"/>
          </c:dLbls>
          <c:cat>
            <c:strRef>
              <c:f>方法比较和基质效应!$J$2:$J$34</c:f>
              <c:strCache>
                <c:ptCount val="33"/>
                <c:pt idx="0">
                  <c:v>磺胺嘧啶</c:v>
                </c:pt>
                <c:pt idx="1">
                  <c:v>磺胺二甲基嘧啶</c:v>
                </c:pt>
                <c:pt idx="2">
                  <c:v>磺胺氯哒嗪</c:v>
                </c:pt>
                <c:pt idx="3">
                  <c:v>磺胺甲噁唑</c:v>
                </c:pt>
                <c:pt idx="4">
                  <c:v>磺胺甲氧嗪</c:v>
                </c:pt>
                <c:pt idx="5">
                  <c:v>磺胺对甲氧嘧啶</c:v>
                </c:pt>
                <c:pt idx="6">
                  <c:v>磺胺间甲氧嘧啶</c:v>
                </c:pt>
                <c:pt idx="7">
                  <c:v>磺胺噻唑</c:v>
                </c:pt>
                <c:pt idx="8">
                  <c:v>磺胺间二甲氧嘧啶</c:v>
                </c:pt>
                <c:pt idx="9">
                  <c:v>磺胺甲噻二唑</c:v>
                </c:pt>
                <c:pt idx="10">
                  <c:v>磺胺苯吡唑</c:v>
                </c:pt>
                <c:pt idx="11">
                  <c:v>磺胺脒</c:v>
                </c:pt>
                <c:pt idx="12">
                  <c:v>磺胺醋酰钠</c:v>
                </c:pt>
                <c:pt idx="13">
                  <c:v>磺胺邻二甲氧嘧啶</c:v>
                </c:pt>
                <c:pt idx="14">
                  <c:v>磺胺喹噁啉</c:v>
                </c:pt>
                <c:pt idx="15">
                  <c:v>诺氟沙星</c:v>
                </c:pt>
                <c:pt idx="16">
                  <c:v>氟罗沙星</c:v>
                </c:pt>
                <c:pt idx="17">
                  <c:v>司帕沙星</c:v>
                </c:pt>
                <c:pt idx="18">
                  <c:v>奥比沙星</c:v>
                </c:pt>
                <c:pt idx="19">
                  <c:v>恩诺沙星</c:v>
                </c:pt>
                <c:pt idx="20">
                  <c:v>达氟沙星</c:v>
                </c:pt>
                <c:pt idx="21">
                  <c:v>培氟沙星</c:v>
                </c:pt>
                <c:pt idx="22">
                  <c:v>二氟沙星</c:v>
                </c:pt>
                <c:pt idx="23">
                  <c:v>环丙沙星</c:v>
                </c:pt>
                <c:pt idx="24">
                  <c:v>沙拉沙星</c:v>
                </c:pt>
                <c:pt idx="25">
                  <c:v>洛美沙星</c:v>
                </c:pt>
                <c:pt idx="26">
                  <c:v>氧氟沙星</c:v>
                </c:pt>
                <c:pt idx="27">
                  <c:v>氟甲喹</c:v>
                </c:pt>
                <c:pt idx="28">
                  <c:v>恶喹酸</c:v>
                </c:pt>
                <c:pt idx="29">
                  <c:v>四环素</c:v>
                </c:pt>
                <c:pt idx="30">
                  <c:v>土霉素</c:v>
                </c:pt>
                <c:pt idx="31">
                  <c:v>金霉素</c:v>
                </c:pt>
                <c:pt idx="32">
                  <c:v>多西环素</c:v>
                </c:pt>
              </c:strCache>
            </c:strRef>
          </c:cat>
          <c:val>
            <c:numRef>
              <c:f>方法比较和基质效应!$P$2:$P$34</c:f>
              <c:numCache>
                <c:formatCode>General</c:formatCode>
                <c:ptCount val="33"/>
                <c:pt idx="0">
                  <c:v>0.86</c:v>
                </c:pt>
                <c:pt idx="1">
                  <c:v>0.83</c:v>
                </c:pt>
                <c:pt idx="2">
                  <c:v>0.82</c:v>
                </c:pt>
                <c:pt idx="3">
                  <c:v>0.97</c:v>
                </c:pt>
                <c:pt idx="4">
                  <c:v>0.57</c:v>
                </c:pt>
                <c:pt idx="5">
                  <c:v>0.69</c:v>
                </c:pt>
                <c:pt idx="6">
                  <c:v>0.72</c:v>
                </c:pt>
                <c:pt idx="7">
                  <c:v>0.8</c:v>
                </c:pt>
                <c:pt idx="8">
                  <c:v>0.87</c:v>
                </c:pt>
                <c:pt idx="9">
                  <c:v>0.82</c:v>
                </c:pt>
                <c:pt idx="10">
                  <c:v>0.72</c:v>
                </c:pt>
                <c:pt idx="11">
                  <c:v>0.7</c:v>
                </c:pt>
                <c:pt idx="12">
                  <c:v>1.02</c:v>
                </c:pt>
                <c:pt idx="13">
                  <c:v>0.86</c:v>
                </c:pt>
                <c:pt idx="14">
                  <c:v>0.76</c:v>
                </c:pt>
                <c:pt idx="15">
                  <c:v>3.2</c:v>
                </c:pt>
                <c:pt idx="16">
                  <c:v>3.1</c:v>
                </c:pt>
                <c:pt idx="17">
                  <c:v>4.1</c:v>
                </c:pt>
                <c:pt idx="18">
                  <c:v>2.7</c:v>
                </c:pt>
                <c:pt idx="19">
                  <c:v>2.33</c:v>
                </c:pt>
                <c:pt idx="20">
                  <c:v>1.5</c:v>
                </c:pt>
                <c:pt idx="21">
                  <c:v>2.1</c:v>
                </c:pt>
                <c:pt idx="22">
                  <c:v>1.57</c:v>
                </c:pt>
                <c:pt idx="23">
                  <c:v>2.1</c:v>
                </c:pt>
                <c:pt idx="24">
                  <c:v>1.2</c:v>
                </c:pt>
                <c:pt idx="25">
                  <c:v>0.9</c:v>
                </c:pt>
                <c:pt idx="26">
                  <c:v>1.9</c:v>
                </c:pt>
                <c:pt idx="27">
                  <c:v>0.41</c:v>
                </c:pt>
                <c:pt idx="28">
                  <c:v>0.99</c:v>
                </c:pt>
                <c:pt idx="29">
                  <c:v>1.98</c:v>
                </c:pt>
                <c:pt idx="30">
                  <c:v>2.26</c:v>
                </c:pt>
                <c:pt idx="31">
                  <c:v>2.14</c:v>
                </c:pt>
                <c:pt idx="32">
                  <c:v>2.68</c:v>
                </c:pt>
              </c:numCache>
            </c:numRef>
          </c:val>
        </c:ser>
        <c:dLbls>
          <c:showLegendKey val="0"/>
          <c:showVal val="0"/>
          <c:showCatName val="0"/>
          <c:showSerName val="0"/>
          <c:showPercent val="0"/>
          <c:showBubbleSize val="0"/>
        </c:dLbls>
        <c:gapWidth val="219"/>
        <c:overlap val="-27"/>
        <c:axId val="542165024"/>
        <c:axId val="542168632"/>
      </c:barChart>
      <c:catAx>
        <c:axId val="542165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240000" spcFirstLastPara="1" vertOverflow="ellipsis" vert="horz" wrap="square" anchor="t" anchorCtr="0"/>
          <a:lstStyle/>
          <a:p>
            <a:pPr>
              <a:defRPr lang="zh-CN" sz="800" b="1" i="0" u="none" strike="noStrike" kern="1200" baseline="0">
                <a:solidFill>
                  <a:schemeClr val="tx1">
                    <a:lumMod val="65000"/>
                    <a:lumOff val="35000"/>
                  </a:schemeClr>
                </a:solidFill>
                <a:latin typeface="+mn-lt"/>
                <a:ea typeface="+mn-ea"/>
                <a:cs typeface="+mn-cs"/>
              </a:defRPr>
            </a:pPr>
          </a:p>
        </c:txPr>
        <c:crossAx val="542168632"/>
        <c:crosses val="autoZero"/>
        <c:auto val="0"/>
        <c:lblAlgn val="ctr"/>
        <c:lblOffset val="100"/>
        <c:noMultiLvlLbl val="0"/>
      </c:catAx>
      <c:valAx>
        <c:axId val="542168632"/>
        <c:scaling>
          <c:orientation val="minMax"/>
        </c:scaling>
        <c:delete val="0"/>
        <c:axPos val="l"/>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ME</a:t>
                </a:r>
                <a:endParaRPr lang="zh-CN" altLang="en-US"/>
              </a:p>
            </c:rich>
          </c:tx>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1" i="0" u="none" strike="noStrike" kern="1200" baseline="0">
                <a:solidFill>
                  <a:schemeClr val="tx1">
                    <a:lumMod val="65000"/>
                    <a:lumOff val="35000"/>
                  </a:schemeClr>
                </a:solidFill>
                <a:latin typeface="+mn-lt"/>
                <a:ea typeface="+mn-ea"/>
                <a:cs typeface="+mn-cs"/>
              </a:defRPr>
            </a:pPr>
          </a:p>
        </c:txPr>
        <c:crossAx val="5421650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56</Pages>
  <Words>22294</Words>
  <Characters>56927</Characters>
  <Lines>543</Lines>
  <Paragraphs>153</Paragraphs>
  <TotalTime>127</TotalTime>
  <ScaleCrop>false</ScaleCrop>
  <LinksUpToDate>false</LinksUpToDate>
  <CharactersWithSpaces>62262</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2022-04-12T10:31:00Z</dcterms:created>
  <dc:creator>Administrator</dc:creator>
  <cp:lastModifiedBy>张海燕</cp:lastModifiedBy>
  <cp:lastPrinted>2022-04-01T09:41:00Z</cp:lastPrinted>
  <dcterms:modified xsi:type="dcterms:W3CDTF">2022-04-13T05:47:02Z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KSORubyTemplateID" linkTarget="0">
    <vt:lpwstr>6</vt:lpwstr>
  </property>
  <property fmtid="{D5CDD505-2E9C-101B-9397-08002B2CF9AE}" pid="4" name="ICV">
    <vt:lpwstr>E2C4C134AA764402A70D696FD9383CED</vt:lpwstr>
  </property>
</Properties>
</file>